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91C22">
      <w:pPr>
        <w:spacing w:before="156" w:beforeLines="50" w:after="156" w:afterLines="50"/>
        <w:jc w:val="center"/>
        <w:rPr>
          <w:rFonts w:hint="eastAsia" w:eastAsia="宋体"/>
          <w:lang w:eastAsia="zh-CN"/>
        </w:rPr>
      </w:pPr>
    </w:p>
    <w:p w14:paraId="0E691487">
      <w:pPr>
        <w:spacing w:before="156" w:beforeLines="50" w:after="156" w:afterLines="50"/>
        <w:jc w:val="center"/>
      </w:pPr>
    </w:p>
    <w:p w14:paraId="70454027">
      <w:pPr>
        <w:spacing w:before="156" w:beforeLines="50" w:after="156" w:afterLines="50"/>
        <w:jc w:val="center"/>
      </w:pPr>
    </w:p>
    <w:p w14:paraId="2BBB1274">
      <w:pPr>
        <w:spacing w:before="156" w:beforeLines="50" w:after="156" w:afterLines="50"/>
        <w:jc w:val="center"/>
      </w:pPr>
    </w:p>
    <w:p w14:paraId="42BFB067">
      <w:pPr>
        <w:spacing w:before="156" w:beforeLines="50" w:after="156" w:afterLines="50"/>
        <w:jc w:val="center"/>
      </w:pPr>
    </w:p>
    <w:p w14:paraId="4EDF251A">
      <w:pPr>
        <w:spacing w:before="156" w:beforeLines="50" w:after="156" w:afterLines="50"/>
        <w:jc w:val="center"/>
      </w:pPr>
    </w:p>
    <w:p w14:paraId="619F2D6F">
      <w:pPr>
        <w:spacing w:before="156" w:beforeLines="50" w:after="156" w:afterLines="50"/>
        <w:jc w:val="center"/>
      </w:pPr>
    </w:p>
    <w:p w14:paraId="329EF71B">
      <w:pPr>
        <w:spacing w:before="156" w:beforeLines="50" w:after="156" w:afterLines="50"/>
        <w:jc w:val="center"/>
      </w:pPr>
    </w:p>
    <w:p w14:paraId="177AA359">
      <w:pPr>
        <w:spacing w:before="156" w:beforeLines="50" w:after="156" w:afterLines="50"/>
        <w:jc w:val="center"/>
        <w:rPr>
          <w:sz w:val="48"/>
          <w:szCs w:val="48"/>
        </w:rPr>
      </w:pPr>
      <w:r>
        <w:rPr>
          <w:rFonts w:hint="eastAsia"/>
          <w:sz w:val="48"/>
          <w:szCs w:val="48"/>
        </w:rPr>
        <w:t>基于图像扫描分析系统的浮游动物图像识别与计数技术规范</w:t>
      </w:r>
    </w:p>
    <w:p w14:paraId="56D94D52">
      <w:pPr>
        <w:spacing w:before="156" w:beforeLines="50" w:after="156" w:afterLines="50"/>
        <w:jc w:val="center"/>
        <w:rPr>
          <w:rFonts w:ascii="仿宋_GB2312" w:hAnsi="微软雅黑" w:eastAsia="仿宋_GB2312" w:cs="宋体"/>
          <w:kern w:val="0"/>
          <w:sz w:val="44"/>
          <w:szCs w:val="44"/>
        </w:rPr>
      </w:pPr>
    </w:p>
    <w:p w14:paraId="69782145">
      <w:pPr>
        <w:spacing w:before="156" w:beforeLines="50" w:after="156" w:afterLines="50"/>
        <w:jc w:val="center"/>
        <w:rPr>
          <w:rFonts w:hint="eastAsia" w:ascii="仿宋_GB2312" w:hAnsi="微软雅黑" w:eastAsia="仿宋_GB2312" w:cs="宋体"/>
          <w:kern w:val="0"/>
          <w:sz w:val="44"/>
          <w:szCs w:val="44"/>
        </w:rPr>
      </w:pPr>
      <w:r>
        <w:rPr>
          <w:rFonts w:hint="eastAsia" w:ascii="仿宋_GB2312" w:hAnsi="微软雅黑" w:eastAsia="仿宋_GB2312" w:cs="宋体"/>
          <w:kern w:val="0"/>
          <w:sz w:val="44"/>
          <w:szCs w:val="44"/>
        </w:rPr>
        <w:t>编制说明</w:t>
      </w:r>
    </w:p>
    <w:p w14:paraId="350F9F7F">
      <w:pPr>
        <w:spacing w:before="156" w:beforeLines="50" w:after="156" w:afterLines="50"/>
        <w:jc w:val="center"/>
        <w:rPr>
          <w:rFonts w:hint="eastAsia" w:ascii="仿宋_GB2312" w:hAnsi="微软雅黑" w:eastAsia="仿宋_GB2312" w:cs="宋体"/>
          <w:kern w:val="0"/>
          <w:sz w:val="44"/>
          <w:szCs w:val="44"/>
          <w:lang w:eastAsia="zh-CN"/>
        </w:rPr>
      </w:pPr>
      <w:r>
        <w:rPr>
          <w:rFonts w:hint="eastAsia" w:ascii="仿宋_GB2312" w:hAnsi="微软雅黑" w:eastAsia="仿宋_GB2312" w:cs="宋体"/>
          <w:kern w:val="0"/>
          <w:sz w:val="44"/>
          <w:szCs w:val="44"/>
          <w:lang w:eastAsia="zh-CN"/>
        </w:rPr>
        <w:t>（</w:t>
      </w:r>
      <w:r>
        <w:rPr>
          <w:rFonts w:hint="eastAsia" w:ascii="仿宋_GB2312" w:hAnsi="微软雅黑" w:eastAsia="仿宋_GB2312" w:cs="宋体"/>
          <w:kern w:val="0"/>
          <w:sz w:val="44"/>
          <w:szCs w:val="44"/>
          <w:lang w:val="en-US" w:eastAsia="zh-CN"/>
        </w:rPr>
        <w:t>征求意见稿</w:t>
      </w:r>
      <w:r>
        <w:rPr>
          <w:rFonts w:hint="eastAsia" w:ascii="仿宋_GB2312" w:hAnsi="微软雅黑" w:eastAsia="仿宋_GB2312" w:cs="宋体"/>
          <w:kern w:val="0"/>
          <w:sz w:val="44"/>
          <w:szCs w:val="44"/>
          <w:lang w:eastAsia="zh-CN"/>
        </w:rPr>
        <w:t>）</w:t>
      </w:r>
    </w:p>
    <w:p w14:paraId="40A15624">
      <w:pPr>
        <w:spacing w:before="156" w:beforeLines="50" w:after="156" w:afterLines="50"/>
        <w:jc w:val="center"/>
        <w:rPr>
          <w:rFonts w:ascii="仿宋_GB2312" w:hAnsi="微软雅黑" w:eastAsia="仿宋_GB2312" w:cs="宋体"/>
          <w:kern w:val="0"/>
          <w:sz w:val="32"/>
          <w:szCs w:val="32"/>
        </w:rPr>
      </w:pPr>
    </w:p>
    <w:p w14:paraId="08728982">
      <w:pPr>
        <w:spacing w:before="156" w:beforeLines="50" w:after="156" w:afterLines="50"/>
        <w:jc w:val="center"/>
        <w:rPr>
          <w:rFonts w:ascii="仿宋_GB2312" w:hAnsi="微软雅黑" w:eastAsia="仿宋_GB2312" w:cs="宋体"/>
          <w:kern w:val="0"/>
          <w:sz w:val="32"/>
          <w:szCs w:val="32"/>
        </w:rPr>
      </w:pPr>
    </w:p>
    <w:p w14:paraId="2D11FF51">
      <w:pPr>
        <w:spacing w:before="156" w:beforeLines="50" w:after="156" w:afterLines="50"/>
        <w:jc w:val="center"/>
        <w:rPr>
          <w:rFonts w:ascii="仿宋_GB2312" w:hAnsi="微软雅黑" w:eastAsia="仿宋_GB2312" w:cs="宋体"/>
          <w:kern w:val="0"/>
          <w:sz w:val="32"/>
          <w:szCs w:val="32"/>
        </w:rPr>
      </w:pPr>
    </w:p>
    <w:p w14:paraId="267C9E05">
      <w:pPr>
        <w:spacing w:before="156" w:beforeLines="50" w:after="156" w:afterLines="50"/>
        <w:jc w:val="center"/>
        <w:rPr>
          <w:rFonts w:ascii="仿宋_GB2312" w:hAnsi="微软雅黑" w:eastAsia="仿宋_GB2312" w:cs="宋体"/>
          <w:kern w:val="0"/>
          <w:sz w:val="32"/>
          <w:szCs w:val="32"/>
        </w:rPr>
      </w:pPr>
    </w:p>
    <w:p w14:paraId="15C6E642">
      <w:pPr>
        <w:spacing w:before="156" w:beforeLines="50" w:after="156" w:afterLines="50"/>
        <w:jc w:val="center"/>
        <w:rPr>
          <w:rFonts w:hint="default" w:ascii="仿宋_GB2312" w:hAnsi="微软雅黑" w:eastAsia="仿宋_GB2312" w:cs="宋体"/>
          <w:color w:val="auto"/>
          <w:kern w:val="0"/>
          <w:sz w:val="44"/>
          <w:szCs w:val="44"/>
          <w:lang w:val="en-US" w:eastAsia="zh-CN"/>
        </w:rPr>
      </w:pPr>
      <w:r>
        <w:rPr>
          <w:rFonts w:hint="eastAsia" w:ascii="仿宋_GB2312" w:hAnsi="微软雅黑" w:eastAsia="仿宋_GB2312" w:cs="宋体"/>
          <w:color w:val="auto"/>
          <w:kern w:val="0"/>
          <w:sz w:val="44"/>
          <w:szCs w:val="44"/>
          <w:lang w:val="en-US" w:eastAsia="zh-CN"/>
        </w:rPr>
        <w:t>青岛道万科技有限公司</w:t>
      </w:r>
    </w:p>
    <w:p w14:paraId="0A7C2D8C">
      <w:pPr>
        <w:spacing w:before="156" w:beforeLines="50" w:after="156" w:afterLines="50"/>
        <w:jc w:val="center"/>
        <w:rPr>
          <w:rFonts w:ascii="仿宋_GB2312" w:hAnsi="微软雅黑" w:eastAsia="仿宋_GB2312" w:cs="宋体"/>
          <w:kern w:val="0"/>
          <w:sz w:val="44"/>
          <w:szCs w:val="44"/>
        </w:rPr>
      </w:pPr>
      <w:r>
        <w:rPr>
          <w:rFonts w:hint="eastAsia" w:ascii="仿宋_GB2312" w:hAnsi="微软雅黑" w:eastAsia="仿宋_GB2312" w:cs="宋体"/>
          <w:kern w:val="0"/>
          <w:sz w:val="44"/>
          <w:szCs w:val="44"/>
        </w:rPr>
        <w:t>二零二</w:t>
      </w:r>
      <w:r>
        <w:rPr>
          <w:rFonts w:hint="eastAsia" w:ascii="仿宋_GB2312" w:hAnsi="微软雅黑" w:eastAsia="仿宋_GB2312" w:cs="宋体"/>
          <w:kern w:val="0"/>
          <w:sz w:val="44"/>
          <w:szCs w:val="44"/>
          <w:lang w:val="en-US" w:eastAsia="zh-CN"/>
        </w:rPr>
        <w:t>六</w:t>
      </w:r>
      <w:r>
        <w:rPr>
          <w:rFonts w:hint="eastAsia" w:ascii="仿宋_GB2312" w:hAnsi="微软雅黑" w:eastAsia="仿宋_GB2312" w:cs="宋体"/>
          <w:kern w:val="0"/>
          <w:sz w:val="44"/>
          <w:szCs w:val="44"/>
        </w:rPr>
        <w:t>年</w:t>
      </w:r>
      <w:r>
        <w:rPr>
          <w:rFonts w:hint="eastAsia" w:ascii="仿宋_GB2312" w:hAnsi="微软雅黑" w:eastAsia="仿宋_GB2312" w:cs="宋体"/>
          <w:kern w:val="0"/>
          <w:sz w:val="44"/>
          <w:szCs w:val="44"/>
          <w:lang w:val="en-US" w:eastAsia="zh-CN"/>
        </w:rPr>
        <w:t>拾</w:t>
      </w:r>
      <w:r>
        <w:rPr>
          <w:rFonts w:hint="eastAsia" w:ascii="仿宋_GB2312" w:hAnsi="微软雅黑" w:eastAsia="仿宋_GB2312" w:cs="宋体"/>
          <w:kern w:val="0"/>
          <w:sz w:val="44"/>
          <w:szCs w:val="44"/>
        </w:rPr>
        <w:t>月</w:t>
      </w:r>
    </w:p>
    <w:p w14:paraId="58EC16D8">
      <w:pPr>
        <w:spacing w:before="156" w:beforeLines="50" w:after="156" w:afterLines="50"/>
        <w:jc w:val="center"/>
        <w:rPr>
          <w:rFonts w:ascii="仿宋_GB2312" w:hAnsi="微软雅黑" w:eastAsia="仿宋_GB2312" w:cs="宋体"/>
          <w:kern w:val="0"/>
          <w:sz w:val="44"/>
          <w:szCs w:val="44"/>
        </w:rPr>
        <w:sectPr>
          <w:pgSz w:w="11906" w:h="16838"/>
          <w:pgMar w:top="1440" w:right="1800" w:bottom="1440" w:left="1800" w:header="851" w:footer="992" w:gutter="0"/>
          <w:cols w:space="425" w:num="1"/>
          <w:docGrid w:type="lines" w:linePitch="312" w:charSpace="0"/>
        </w:sectPr>
      </w:pPr>
    </w:p>
    <w:p w14:paraId="74354524">
      <w:pPr>
        <w:spacing w:line="480" w:lineRule="exact"/>
        <w:ind w:firstLine="640" w:firstLineChars="200"/>
        <w:jc w:val="center"/>
        <w:rPr>
          <w:rFonts w:ascii="仿宋_GB2312" w:hAnsi="微软雅黑" w:eastAsia="仿宋_GB2312" w:cs="宋体"/>
          <w:kern w:val="0"/>
          <w:sz w:val="32"/>
          <w:szCs w:val="32"/>
        </w:rPr>
      </w:pPr>
      <w:r>
        <w:rPr>
          <w:rFonts w:hint="eastAsia" w:ascii="仿宋_GB2312" w:hAnsi="微软雅黑" w:eastAsia="仿宋_GB2312" w:cs="宋体"/>
          <w:kern w:val="0"/>
          <w:sz w:val="32"/>
          <w:szCs w:val="32"/>
        </w:rPr>
        <w:t>基于图像扫描分析系统的浮游动物图像识别与计数技术规范编制说明</w:t>
      </w:r>
    </w:p>
    <w:p w14:paraId="0FE8E24B">
      <w:pPr>
        <w:numPr>
          <w:ilvl w:val="0"/>
          <w:numId w:val="2"/>
        </w:numPr>
        <w:spacing w:line="480" w:lineRule="exact"/>
        <w:ind w:firstLine="640" w:firstLineChars="200"/>
        <w:rPr>
          <w:rFonts w:hint="eastAsia" w:ascii="仿宋_GB2312" w:hAnsi="微软雅黑" w:eastAsia="仿宋_GB2312" w:cs="宋体"/>
          <w:kern w:val="0"/>
          <w:sz w:val="32"/>
          <w:szCs w:val="32"/>
        </w:rPr>
      </w:pPr>
      <w:r>
        <w:rPr>
          <w:rFonts w:hint="eastAsia" w:ascii="仿宋_GB2312" w:hAnsi="微软雅黑" w:eastAsia="仿宋_GB2312" w:cs="宋体"/>
          <w:kern w:val="0"/>
          <w:sz w:val="32"/>
          <w:szCs w:val="32"/>
        </w:rPr>
        <w:t>工作简况，包括任务来源、协作单位、主要工作过程、学会标准主要起草人及其所做的工作等；</w:t>
      </w:r>
    </w:p>
    <w:p w14:paraId="34887B5A">
      <w:pPr>
        <w:numPr>
          <w:ilvl w:val="0"/>
          <w:numId w:val="3"/>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 xml:space="preserve">任务来源 </w:t>
      </w:r>
    </w:p>
    <w:p w14:paraId="30540A2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本标准为中国海洋学会团体标准制定项目，由青岛道万科技有限公司提出，中国海洋学会归口管理。项目立足国内海洋、淡水生态浮游动物智能化监测业务需求，针对当前浮游动物图像扫描分析技术无统一操作规范、数据不互通的行业痛点立项编制</w:t>
      </w:r>
      <w:r>
        <w:rPr>
          <w:rFonts w:hint="eastAsia" w:ascii="仿宋_GB2312" w:hAnsi="微软雅黑" w:eastAsia="仿宋_GB2312" w:cs="宋体"/>
          <w:kern w:val="0"/>
          <w:sz w:val="28"/>
          <w:szCs w:val="28"/>
          <w:lang w:eastAsia="zh-CN"/>
        </w:rPr>
        <w:t>。</w:t>
      </w:r>
      <w:r>
        <w:rPr>
          <w:rFonts w:hint="eastAsia" w:ascii="仿宋_GB2312" w:hAnsi="微软雅黑" w:eastAsia="仿宋_GB2312" w:cs="宋体"/>
          <w:kern w:val="0"/>
          <w:sz w:val="28"/>
          <w:szCs w:val="28"/>
        </w:rPr>
        <w:t xml:space="preserve">标准立项申请经中国海洋学会海洋标准化分会组织专家审查，于2026年7月27日通过立项审查（见《〈基于浮游动物图像扫描分析系统的浮游动物图像识别与计数技术规范〉团体标准立项审查会会议纪要》）。 </w:t>
      </w:r>
    </w:p>
    <w:p w14:paraId="4889801F">
      <w:pPr>
        <w:numPr>
          <w:ilvl w:val="0"/>
          <w:numId w:val="3"/>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协作与起草单位</w:t>
      </w:r>
    </w:p>
    <w:p w14:paraId="03C2866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牵头起草单位：青岛道万科技有限公司，负责标准整体框架搭建、软硬件指标试验验证、全流程操作条文编制、材料汇总统筹。</w:t>
      </w:r>
    </w:p>
    <w:p w14:paraId="67F805C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参与协作起草单位：</w:t>
      </w:r>
      <w:r>
        <w:rPr>
          <w:rFonts w:hint="eastAsia" w:ascii="仿宋_GB2312" w:hAnsi="微软雅黑" w:eastAsia="仿宋_GB2312" w:cs="宋体"/>
          <w:kern w:val="0"/>
          <w:sz w:val="28"/>
          <w:szCs w:val="28"/>
          <w:lang w:eastAsia="zh-CN"/>
        </w:rPr>
        <w:t>国家海洋环境监测中心、中国科学院海洋研究所、自然资源部第一海洋研究所、自然资源部天津海洋中心（自然资源部天津海洋预报台）、自然资源部北海生态中心、中国水产科学研究院南海水产研究所、山东省海洋科学研究院、山东省海洋资源与环境研究院、山东省青岛生态环境监测中心、广西壮族自治区海洋环境监测中心站、禹治环境科技（浙江）有限公司。</w:t>
      </w:r>
    </w:p>
    <w:p w14:paraId="568135F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 xml:space="preserve"> 各单位分工覆盖全国南北海域生态监测、海洋科研等领域，形成产学研监测一体化起草团队。</w:t>
      </w:r>
    </w:p>
    <w:p w14:paraId="0DD7A316">
      <w:pPr>
        <w:numPr>
          <w:ilvl w:val="0"/>
          <w:numId w:val="3"/>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主要工作过程</w:t>
      </w:r>
    </w:p>
    <w:p w14:paraId="566F3BB6">
      <w:pPr>
        <w:keepNext w:val="0"/>
        <w:keepLines w:val="0"/>
        <w:pageBreakBefore w:val="0"/>
        <w:widowControl w:val="0"/>
        <w:numPr>
          <w:ilvl w:val="0"/>
          <w:numId w:val="4"/>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立项准备阶段</w:t>
      </w:r>
      <w:r>
        <w:rPr>
          <w:rFonts w:hint="eastAsia" w:ascii="仿宋_GB2312" w:hAnsi="微软雅黑" w:eastAsia="仿宋_GB2312" w:cs="宋体"/>
          <w:kern w:val="0"/>
          <w:sz w:val="28"/>
          <w:szCs w:val="28"/>
          <w:highlight w:val="none"/>
        </w:rPr>
        <w:t>（2026年1月</w:t>
      </w:r>
      <w:r>
        <w:rPr>
          <w:rFonts w:hint="eastAsia" w:ascii="仿宋_GB2312" w:hAnsi="微软雅黑" w:eastAsia="仿宋_GB2312" w:cs="宋体"/>
          <w:kern w:val="0"/>
          <w:sz w:val="28"/>
          <w:szCs w:val="28"/>
          <w:highlight w:val="none"/>
          <w:lang w:val="en-US" w:eastAsia="zh-CN"/>
        </w:rPr>
        <w:t>-</w:t>
      </w:r>
      <w:r>
        <w:rPr>
          <w:rFonts w:hint="eastAsia" w:ascii="仿宋_GB2312" w:hAnsi="微软雅黑" w:eastAsia="仿宋_GB2312" w:cs="宋体"/>
          <w:kern w:val="0"/>
          <w:sz w:val="28"/>
          <w:szCs w:val="28"/>
          <w:highlight w:val="none"/>
        </w:rPr>
        <w:t>2026年6月）</w:t>
      </w:r>
    </w:p>
    <w:p w14:paraId="7CF5792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起草组系统调研了国内外浮游动物图像扫描分析技术的研究与应用现状，梳理了</w:t>
      </w:r>
      <w:r>
        <w:rPr>
          <w:rFonts w:hint="eastAsia" w:ascii="仿宋_GB2312" w:hAnsi="微软雅黑" w:eastAsia="仿宋_GB2312" w:cs="宋体"/>
          <w:kern w:val="0"/>
          <w:sz w:val="28"/>
          <w:szCs w:val="28"/>
          <w:lang w:val="en-US" w:eastAsia="zh-CN"/>
        </w:rPr>
        <w:t>浮游动物图像扫描分析系统硬件、软件</w:t>
      </w:r>
      <w:r>
        <w:rPr>
          <w:rFonts w:hint="eastAsia" w:ascii="仿宋_GB2312" w:hAnsi="微软雅黑" w:eastAsia="仿宋_GB2312" w:cs="宋体"/>
          <w:kern w:val="0"/>
          <w:sz w:val="28"/>
          <w:szCs w:val="28"/>
        </w:rPr>
        <w:t>的技术体系，分析了国内科研机构和监测单位在浮游动物图像识别领域的实践需求。在此基础上，起草组完成了标准立项申请材料的编制，包括立项申请书、标准草案。</w:t>
      </w:r>
    </w:p>
    <w:p w14:paraId="18C15A14">
      <w:pPr>
        <w:keepNext w:val="0"/>
        <w:keepLines w:val="0"/>
        <w:pageBreakBefore w:val="0"/>
        <w:widowControl w:val="0"/>
        <w:numPr>
          <w:ilvl w:val="0"/>
          <w:numId w:val="4"/>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立项审查阶段（2026年7月）</w:t>
      </w:r>
    </w:p>
    <w:p w14:paraId="0796863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2026年7月27日，中国海洋学会海洋标准化分会以视频会议方式主持召开立项审查会。来自中国海洋大学、中国地质大学、山东省资源环境研究院、自然资源部厦门海洋中心、深圳市海洋发展促进中心的5名专家组成审查组。专家组听取了标准立项申请单位的汇报，审议了立项申请材料，经质询和讨论，一致同意该团体标准通过立项审查，并提出了6条修改建议。</w:t>
      </w:r>
    </w:p>
    <w:p w14:paraId="25E40911">
      <w:pPr>
        <w:keepNext w:val="0"/>
        <w:keepLines w:val="0"/>
        <w:pageBreakBefore w:val="0"/>
        <w:widowControl w:val="0"/>
        <w:numPr>
          <w:ilvl w:val="0"/>
          <w:numId w:val="4"/>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草案完善及征求意见稿编制阶段（2026年7月</w:t>
      </w:r>
      <w:r>
        <w:rPr>
          <w:rFonts w:hint="eastAsia" w:ascii="仿宋_GB2312" w:hAnsi="微软雅黑" w:eastAsia="仿宋_GB2312" w:cs="宋体"/>
          <w:kern w:val="0"/>
          <w:sz w:val="28"/>
          <w:szCs w:val="28"/>
          <w:highlight w:val="none"/>
          <w:lang w:val="en-US" w:eastAsia="zh-CN"/>
        </w:rPr>
        <w:t>-</w:t>
      </w:r>
      <w:r>
        <w:rPr>
          <w:rFonts w:hint="eastAsia" w:ascii="仿宋_GB2312" w:hAnsi="微软雅黑" w:eastAsia="仿宋_GB2312" w:cs="宋体"/>
          <w:kern w:val="0"/>
          <w:sz w:val="28"/>
          <w:szCs w:val="28"/>
          <w:highlight w:val="none"/>
        </w:rPr>
        <w:t>2026年</w:t>
      </w:r>
      <w:r>
        <w:rPr>
          <w:rFonts w:hint="eastAsia" w:ascii="仿宋_GB2312" w:hAnsi="微软雅黑" w:eastAsia="仿宋_GB2312" w:cs="宋体"/>
          <w:kern w:val="0"/>
          <w:sz w:val="28"/>
          <w:szCs w:val="28"/>
          <w:highlight w:val="none"/>
          <w:lang w:val="en-US" w:eastAsia="zh-CN"/>
        </w:rPr>
        <w:t>10</w:t>
      </w:r>
      <w:r>
        <w:rPr>
          <w:rFonts w:hint="eastAsia" w:ascii="仿宋_GB2312" w:hAnsi="微软雅黑" w:eastAsia="仿宋_GB2312" w:cs="宋体"/>
          <w:kern w:val="0"/>
          <w:sz w:val="28"/>
          <w:szCs w:val="28"/>
          <w:highlight w:val="none"/>
        </w:rPr>
        <w:t>月）</w:t>
      </w:r>
      <w:bookmarkStart w:id="0" w:name="_GoBack"/>
      <w:bookmarkEnd w:id="0"/>
    </w:p>
    <w:p w14:paraId="15BD417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 xml:space="preserve">起草组根据立项审查会专家意见，对标准草案开展系统修改、试验验证与文本打磨工作： </w:t>
      </w:r>
    </w:p>
    <w:p w14:paraId="0AFF260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 xml:space="preserve">将标准标题由“基于浮游动物图像扫描分析系统的浮游动物图像识别与计数技术规范”修改为“基于图像扫描分析系统的浮游动物图像识别与计数技术规范”； </w:t>
      </w:r>
    </w:p>
    <w:p w14:paraId="23A24C8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 xml:space="preserve">规范了术语的定义和条文表述的一致性； </w:t>
      </w:r>
    </w:p>
    <w:p w14:paraId="6BEAD89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 xml:space="preserve">将6.3.1“图像预处理”修改为“图像处理”，6.3.2“图像再处理”修改为“图像质量控制”； </w:t>
      </w:r>
    </w:p>
    <w:p w14:paraId="1C7C6B4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 xml:space="preserve">对第8章数据质量控制中5%错误率控制指标进行了论证和适当调整； </w:t>
      </w:r>
    </w:p>
    <w:p w14:paraId="51B6678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在第7.2.2条“自动</w:t>
      </w:r>
      <w:r>
        <w:rPr>
          <w:rFonts w:hint="eastAsia" w:ascii="仿宋_GB2312" w:hAnsi="微软雅黑" w:eastAsia="仿宋_GB2312" w:cs="宋体"/>
          <w:kern w:val="0"/>
          <w:sz w:val="28"/>
          <w:szCs w:val="28"/>
          <w:highlight w:val="none"/>
          <w:lang w:val="en-US" w:eastAsia="zh-CN"/>
        </w:rPr>
        <w:t>识别</w:t>
      </w:r>
      <w:r>
        <w:rPr>
          <w:rFonts w:hint="eastAsia" w:ascii="仿宋_GB2312" w:hAnsi="微软雅黑" w:eastAsia="仿宋_GB2312" w:cs="宋体"/>
          <w:kern w:val="0"/>
          <w:sz w:val="28"/>
          <w:szCs w:val="28"/>
          <w:highlight w:val="none"/>
        </w:rPr>
        <w:t xml:space="preserve">”中补充了体积算法相关内容； </w:t>
      </w:r>
    </w:p>
    <w:p w14:paraId="0F8C06A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按照GB/T 1.1</w:t>
      </w:r>
      <w:r>
        <w:rPr>
          <w:rFonts w:hint="eastAsia" w:ascii="仿宋_GB2312" w:hAnsi="微软雅黑" w:eastAsia="仿宋_GB2312" w:cs="宋体"/>
          <w:kern w:val="0"/>
          <w:sz w:val="28"/>
          <w:szCs w:val="28"/>
          <w:highlight w:val="none"/>
          <w:lang w:val="en-US" w:eastAsia="zh-CN"/>
        </w:rPr>
        <w:t>-</w:t>
      </w:r>
      <w:r>
        <w:rPr>
          <w:rFonts w:hint="eastAsia" w:ascii="仿宋_GB2312" w:hAnsi="微软雅黑" w:eastAsia="仿宋_GB2312" w:cs="宋体"/>
          <w:kern w:val="0"/>
          <w:sz w:val="28"/>
          <w:szCs w:val="28"/>
          <w:highlight w:val="none"/>
        </w:rPr>
        <w:t>2020《标准化工作导则 第1部分：标准化文件的结构和起草规则》的要求，进一步完善了标准文本的格式和表述。</w:t>
      </w:r>
    </w:p>
    <w:p w14:paraId="5A8594A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完成上述修改后，起草组组织内部多轮校核、跨起草单位研讨，形成团体标准征求意见稿，现已进入公开征求意见阶段，面向行业相关单位广泛征集修改意见，后续将汇总处理反馈意见，进一步优化标准文本。</w:t>
      </w:r>
    </w:p>
    <w:p w14:paraId="58D17F39">
      <w:pPr>
        <w:numPr>
          <w:ilvl w:val="0"/>
          <w:numId w:val="3"/>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主要起草人及分工</w:t>
      </w:r>
    </w:p>
    <w:p w14:paraId="679CF03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 xml:space="preserve">起草团队汇集浮游动物分类、海洋监测、成像设备、人工智能识别、数据标准化领域专业人员： </w:t>
      </w:r>
    </w:p>
    <w:p w14:paraId="0E783E6D">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青岛道万科技有限公司：负责系统硬件与软件性能指标确定、样品扫描流程设计、形态学参数设置、生物量估算算法试验验证，提供成像设备及人工智能识别相关技术保障。</w:t>
      </w:r>
    </w:p>
    <w:p w14:paraId="54329D00">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国家海洋环境监测中心、自然资源部天津海洋中心（自然资源部天津海洋预报台）、自然资源部北海生态中心、广西壮族自治区海洋环境监测中心站、山东省青岛生态环境监测中心、山东省海洋资源与环境研究院：负责一线海洋业务监测场景验证，开展质量控制指标研究，规范样品前处理流程，编制元数据记录相关技术要求。</w:t>
      </w:r>
    </w:p>
    <w:p w14:paraId="1265D658">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中国科学院海洋研究所、自然资源部第一海洋研究所、山东省海洋科学研究院、中国水产科学研究院南海水产研究所：负责浮游动物数据库构建，制定人工复核规则，完成国内外相关技术调研与对比论证。</w:t>
      </w:r>
    </w:p>
    <w:p w14:paraId="1409AA91">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禹治环境科技（浙江）有限公司：负责设备连续运行稳定性验证，开展数据分级与安全管理相关条文编制工作。</w:t>
      </w:r>
    </w:p>
    <w:p w14:paraId="508A5BBA">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auto"/>
        <w:rPr>
          <w:rFonts w:hint="eastAsia" w:ascii="仿宋_GB2312" w:hAnsi="微软雅黑" w:eastAsia="仿宋_GB2312" w:cs="宋体"/>
          <w:kern w:val="0"/>
          <w:sz w:val="28"/>
          <w:szCs w:val="28"/>
        </w:rPr>
      </w:pPr>
    </w:p>
    <w:p w14:paraId="743E1CB4">
      <w:pPr>
        <w:numPr>
          <w:ilvl w:val="0"/>
          <w:numId w:val="2"/>
        </w:numPr>
        <w:spacing w:line="480" w:lineRule="exact"/>
        <w:ind w:left="0" w:leftChars="0" w:firstLine="640" w:firstLineChars="200"/>
        <w:rPr>
          <w:rFonts w:hint="eastAsia" w:ascii="仿宋_GB2312" w:hAnsi="微软雅黑" w:eastAsia="仿宋_GB2312" w:cs="宋体"/>
          <w:kern w:val="0"/>
          <w:sz w:val="32"/>
          <w:szCs w:val="32"/>
        </w:rPr>
      </w:pPr>
      <w:r>
        <w:rPr>
          <w:rFonts w:hint="eastAsia" w:ascii="仿宋_GB2312" w:hAnsi="微软雅黑" w:eastAsia="仿宋_GB2312" w:cs="宋体"/>
          <w:kern w:val="0"/>
          <w:sz w:val="32"/>
          <w:szCs w:val="32"/>
        </w:rPr>
        <w:t>确定团体学会标准主要技术内容（如技术指标、参数、公式、性能要求、实验方法、检验规则等）的论据（包括试验、统计数据），修订学会标准时，应增加新、旧学会标准水平的对比；</w:t>
      </w:r>
    </w:p>
    <w:p w14:paraId="330E761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本标准主要技术内容涵盖系统组成与性能要求、图像采集与处理流程、物种鉴定、数据质量控制、数据管理、生物量估算及形态学参数附录，各项技术要求结合国内现有设备实测、业务监测实践、文献调研综合确定。</w:t>
      </w:r>
    </w:p>
    <w:p w14:paraId="3938851E">
      <w:pPr>
        <w:numPr>
          <w:ilvl w:val="0"/>
          <w:numId w:val="6"/>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系统组成与性能要求（第5章）</w:t>
      </w:r>
    </w:p>
    <w:p w14:paraId="135BF54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硬件配置从扫描仪、处理计算机、辅助设备三方面提出要求。水密扫描室、耐海水及固定液接触部件、样品无损回收等硬件要求，来源于多台浮游动物扫描成像设备实际应用测试；扫描分辨率不低于 2200 dpi，是保障200 μm级别浮游动物形态参数提取精度的关键阈值。计算机硬件参考配置，综合国内业务监测单位、科研院所现有设备普遍水平给出，兼顾实用性与兼容性。</w:t>
      </w:r>
    </w:p>
    <w:p w14:paraId="367C6AA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性能指标中，可测等效球直径200 μm～10000 μm，匹配海洋、淡水浮游动物常规监测网具（200 μm网目）采集样品的个体粒径范围；单个样品扫描时间不宜超过5 min、单样图像处理不宜超过20 min，来自设备大量实测统计，满足业务化监测批量样品处理效率需求；系统连续无故障运行时间宜不小于720 h，为设备长期连续监测的可靠性指标，基于稳定性试验结果确定。</w:t>
      </w:r>
    </w:p>
    <w:p w14:paraId="646893CC">
      <w:pPr>
        <w:numPr>
          <w:ilvl w:val="0"/>
          <w:numId w:val="6"/>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图像采集与处理流程（第6章）</w:t>
      </w:r>
    </w:p>
    <w:p w14:paraId="63BD5B4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样品制备环节</w:t>
      </w:r>
      <w:r>
        <w:rPr>
          <w:rFonts w:hint="eastAsia" w:ascii="仿宋_GB2312" w:hAnsi="微软雅黑" w:eastAsia="仿宋_GB2312" w:cs="宋体"/>
          <w:kern w:val="0"/>
          <w:sz w:val="28"/>
          <w:szCs w:val="28"/>
          <w:highlight w:val="none"/>
          <w:lang w:val="en-US" w:eastAsia="zh-CN"/>
        </w:rPr>
        <w:t>中，</w:t>
      </w:r>
      <w:r>
        <w:rPr>
          <w:rFonts w:hint="eastAsia" w:ascii="仿宋_GB2312" w:hAnsi="微软雅黑" w:eastAsia="仿宋_GB2312" w:cs="宋体"/>
          <w:kern w:val="0"/>
          <w:sz w:val="28"/>
          <w:szCs w:val="28"/>
          <w:highlight w:val="none"/>
        </w:rPr>
        <w:t>甲醛/乙醇固定</w:t>
      </w:r>
      <w:r>
        <w:rPr>
          <w:rFonts w:hint="eastAsia" w:ascii="仿宋_GB2312" w:hAnsi="微软雅黑" w:eastAsia="仿宋_GB2312" w:cs="宋体"/>
          <w:kern w:val="0"/>
          <w:sz w:val="28"/>
          <w:szCs w:val="28"/>
          <w:highlight w:val="none"/>
          <w:lang w:eastAsia="zh-CN"/>
        </w:rPr>
        <w:t>的</w:t>
      </w:r>
      <w:r>
        <w:rPr>
          <w:rFonts w:hint="eastAsia" w:ascii="仿宋_GB2312" w:hAnsi="微软雅黑" w:eastAsia="仿宋_GB2312" w:cs="宋体"/>
          <w:kern w:val="0"/>
          <w:sz w:val="28"/>
          <w:szCs w:val="28"/>
          <w:highlight w:val="none"/>
        </w:rPr>
        <w:t>样品清洗、保存时限（清洗后24 h内扫描，最长48 h冷藏避光），参考GB/T 12763.6</w:t>
      </w:r>
      <w:r>
        <w:rPr>
          <w:rFonts w:hint="eastAsia" w:ascii="仿宋_GB2312" w:hAnsi="微软雅黑" w:eastAsia="仿宋_GB2312" w:cs="宋体"/>
          <w:kern w:val="0"/>
          <w:sz w:val="28"/>
          <w:szCs w:val="28"/>
          <w:highlight w:val="none"/>
          <w:lang w:val="en-US" w:eastAsia="zh-CN"/>
        </w:rPr>
        <w:t>-</w:t>
      </w:r>
      <w:r>
        <w:rPr>
          <w:rFonts w:hint="eastAsia" w:ascii="仿宋_GB2312" w:hAnsi="微软雅黑" w:eastAsia="仿宋_GB2312" w:cs="宋体"/>
          <w:kern w:val="0"/>
          <w:sz w:val="28"/>
          <w:szCs w:val="28"/>
          <w:highlight w:val="none"/>
        </w:rPr>
        <w:t>2007、HJ 442.6</w:t>
      </w:r>
      <w:r>
        <w:rPr>
          <w:rFonts w:hint="eastAsia" w:ascii="仿宋_GB2312" w:hAnsi="微软雅黑" w:eastAsia="仿宋_GB2312" w:cs="宋体"/>
          <w:kern w:val="0"/>
          <w:sz w:val="28"/>
          <w:szCs w:val="28"/>
          <w:highlight w:val="none"/>
          <w:lang w:val="en-US" w:eastAsia="zh-CN"/>
        </w:rPr>
        <w:t>-</w:t>
      </w:r>
      <w:r>
        <w:rPr>
          <w:rFonts w:hint="eastAsia" w:ascii="仿宋_GB2312" w:hAnsi="微软雅黑" w:eastAsia="仿宋_GB2312" w:cs="宋体"/>
          <w:kern w:val="0"/>
          <w:sz w:val="28"/>
          <w:szCs w:val="28"/>
          <w:highlight w:val="none"/>
        </w:rPr>
        <w:t>2020生物监测样品保存要求，结合扫描成像样品的特殊性，防止样品降解、个体破损带来识别计数偏差。分样、稀释操作流程，针对样品个体大小差异大、个体密集重叠造成识别错误的实际问题，经比对试验确立。</w:t>
      </w:r>
    </w:p>
    <w:p w14:paraId="139266C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图像采集规定扫描仪预热、背景扫描、样品投放、样品回收全流程操作要点；图像处理、图像质量控制章节，明确原始图像批量处理、目标分割、重叠粘连个体人工分割校正方法，解决实际测试中样品粘连、气泡干扰带来的识别误差问题。</w:t>
      </w:r>
    </w:p>
    <w:p w14:paraId="6D925F98">
      <w:pPr>
        <w:numPr>
          <w:ilvl w:val="0"/>
          <w:numId w:val="6"/>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物种鉴定（第7章）</w:t>
      </w:r>
    </w:p>
    <w:p w14:paraId="7C744CE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数据库构建要求包含多姿态、多发育阶段</w:t>
      </w:r>
      <w:r>
        <w:rPr>
          <w:rFonts w:hint="eastAsia" w:ascii="仿宋_GB2312" w:hAnsi="微软雅黑" w:eastAsia="仿宋_GB2312" w:cs="宋体"/>
          <w:kern w:val="0"/>
          <w:sz w:val="28"/>
          <w:szCs w:val="28"/>
          <w:highlight w:val="none"/>
          <w:lang w:eastAsia="zh-CN"/>
        </w:rPr>
        <w:t>，</w:t>
      </w:r>
      <w:r>
        <w:rPr>
          <w:rFonts w:hint="eastAsia" w:ascii="仿宋_GB2312" w:hAnsi="微软雅黑" w:eastAsia="仿宋_GB2312" w:cs="宋体"/>
          <w:kern w:val="0"/>
          <w:sz w:val="28"/>
          <w:szCs w:val="28"/>
          <w:highlight w:val="none"/>
        </w:rPr>
        <w:t>经过专业标注审核的图像样本，采用多人互校标注方式，是提升深度学习模型识别泛化能力的基础，来源于浮游动物智能识别数据库建设实践。自动化识别采用CNN深度特征提取搭配随机森林集成分类算法，为当前浮游动物图像识别主流成熟技术路线。人工辅助验证要求对自动识别结果开展人工复核，区分正确归类、重新归类等操作，解决</w:t>
      </w:r>
      <w:r>
        <w:rPr>
          <w:rFonts w:hint="eastAsia" w:ascii="仿宋_GB2312" w:hAnsi="微软雅黑" w:eastAsia="仿宋_GB2312" w:cs="宋体"/>
          <w:kern w:val="0"/>
          <w:sz w:val="28"/>
          <w:szCs w:val="28"/>
          <w:highlight w:val="none"/>
          <w:lang w:val="en-US" w:eastAsia="zh-CN"/>
        </w:rPr>
        <w:t>自动</w:t>
      </w:r>
      <w:r>
        <w:rPr>
          <w:rFonts w:hint="eastAsia" w:ascii="仿宋_GB2312" w:hAnsi="微软雅黑" w:eastAsia="仿宋_GB2312" w:cs="宋体"/>
          <w:kern w:val="0"/>
          <w:sz w:val="28"/>
          <w:szCs w:val="28"/>
          <w:highlight w:val="none"/>
        </w:rPr>
        <w:t>识别的固有错判、漏判问题。</w:t>
      </w:r>
    </w:p>
    <w:p w14:paraId="14B524B8">
      <w:pPr>
        <w:numPr>
          <w:ilvl w:val="0"/>
          <w:numId w:val="6"/>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数据质量控制（第8章）</w:t>
      </w:r>
    </w:p>
    <w:p w14:paraId="6F6D0E4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标准设置抽检复核机制，每批次随机抽取不少于10%样本开展人工复核；种类鉴定错误率控制阈值为不超过20%，该指标经过多批次比对验证；当错误率超标时逐级扩大抽检比例直至全量复核，配套质量控制记录归档要求。该指标兼顾当前</w:t>
      </w:r>
      <w:r>
        <w:rPr>
          <w:rFonts w:hint="eastAsia" w:ascii="仿宋_GB2312" w:hAnsi="微软雅黑" w:eastAsia="仿宋_GB2312" w:cs="宋体"/>
          <w:kern w:val="0"/>
          <w:sz w:val="28"/>
          <w:szCs w:val="28"/>
          <w:highlight w:val="none"/>
          <w:lang w:val="en-US" w:eastAsia="zh-CN"/>
        </w:rPr>
        <w:t>自动</w:t>
      </w:r>
      <w:r>
        <w:rPr>
          <w:rFonts w:hint="eastAsia" w:ascii="仿宋_GB2312" w:hAnsi="微软雅黑" w:eastAsia="仿宋_GB2312" w:cs="宋体"/>
          <w:kern w:val="0"/>
          <w:sz w:val="28"/>
          <w:szCs w:val="28"/>
          <w:highlight w:val="none"/>
        </w:rPr>
        <w:t>识别技术实际水平与业务监测数据质量底线，经过起草组多单位联合论证，既不脱离现有技术能力，又保障监测数据可用性。</w:t>
      </w:r>
    </w:p>
    <w:p w14:paraId="7AED89D7">
      <w:pPr>
        <w:numPr>
          <w:ilvl w:val="0"/>
          <w:numId w:val="6"/>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数据管理（第9章）</w:t>
      </w:r>
    </w:p>
    <w:p w14:paraId="113381E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元数据记录要求引用GB/T 12763.6</w:t>
      </w:r>
      <w:r>
        <w:rPr>
          <w:rFonts w:hint="eastAsia" w:ascii="仿宋_GB2312" w:hAnsi="微软雅黑" w:eastAsia="仿宋_GB2312" w:cs="宋体"/>
          <w:kern w:val="0"/>
          <w:sz w:val="28"/>
          <w:szCs w:val="28"/>
          <w:highlight w:val="none"/>
          <w:lang w:val="en-US" w:eastAsia="zh-CN"/>
        </w:rPr>
        <w:t>-</w:t>
      </w:r>
      <w:r>
        <w:rPr>
          <w:rFonts w:hint="eastAsia" w:ascii="仿宋_GB2312" w:hAnsi="微软雅黑" w:eastAsia="仿宋_GB2312" w:cs="宋体"/>
          <w:kern w:val="0"/>
          <w:sz w:val="28"/>
          <w:szCs w:val="28"/>
          <w:highlight w:val="none"/>
        </w:rPr>
        <w:t>2007，统一采样站位、航次、环境参数等记录要素；明确原始图像、个体小图存储格式。数据共享与安全部分提出数据溯源标注、三级数据分级管控、定期备份、原始数据至少保存5年，兼顾数据开放共享与海洋生态监测数据安全管理需求。</w:t>
      </w:r>
    </w:p>
    <w:p w14:paraId="32D7B0CB">
      <w:pPr>
        <w:numPr>
          <w:ilvl w:val="0"/>
          <w:numId w:val="6"/>
        </w:numPr>
        <w:spacing w:line="480" w:lineRule="exact"/>
        <w:ind w:leftChars="0"/>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生物量估算（第10章）</w:t>
      </w:r>
    </w:p>
    <w:p w14:paraId="506FD23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给出体积换算法、经验回归模型法两类主流生物量估算路径；规定像素向微米的换算公式，明确估算过程需要留存的记录要素。形态学参数全部列入规范性附录A，参数集合来源于成像系统输出的通用形态学指标，为生物量换算、类群区分提供统一输入。</w:t>
      </w:r>
    </w:p>
    <w:p w14:paraId="51706720">
      <w:pPr>
        <w:numPr>
          <w:ilvl w:val="0"/>
          <w:numId w:val="6"/>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规范性引用文件</w:t>
      </w:r>
    </w:p>
    <w:p w14:paraId="6504523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引用《海洋调查规范 第6部分：海洋生物调查》</w:t>
      </w:r>
      <w:r>
        <w:rPr>
          <w:rFonts w:hint="eastAsia" w:ascii="仿宋_GB2312" w:hAnsi="微软雅黑" w:eastAsia="仿宋_GB2312" w:cs="宋体"/>
          <w:kern w:val="0"/>
          <w:sz w:val="28"/>
          <w:szCs w:val="28"/>
          <w:highlight w:val="none"/>
          <w:lang w:eastAsia="zh-CN"/>
        </w:rPr>
        <w:t>、</w:t>
      </w:r>
      <w:r>
        <w:rPr>
          <w:rFonts w:hint="eastAsia" w:ascii="仿宋_GB2312" w:hAnsi="微软雅黑" w:eastAsia="仿宋_GB2312" w:cs="宋体"/>
          <w:kern w:val="0"/>
          <w:sz w:val="28"/>
          <w:szCs w:val="28"/>
          <w:highlight w:val="none"/>
        </w:rPr>
        <w:t>《海洋监测规范 第2部分：数据处理与分析质量控制》</w:t>
      </w:r>
      <w:r>
        <w:rPr>
          <w:rFonts w:hint="eastAsia" w:ascii="仿宋_GB2312" w:hAnsi="微软雅黑" w:eastAsia="仿宋_GB2312" w:cs="宋体"/>
          <w:kern w:val="0"/>
          <w:sz w:val="28"/>
          <w:szCs w:val="28"/>
          <w:highlight w:val="none"/>
          <w:lang w:eastAsia="zh-CN"/>
        </w:rPr>
        <w:t>、</w:t>
      </w:r>
      <w:r>
        <w:rPr>
          <w:rFonts w:hint="eastAsia" w:ascii="仿宋_GB2312" w:hAnsi="微软雅黑" w:eastAsia="仿宋_GB2312" w:cs="宋体"/>
          <w:kern w:val="0"/>
          <w:sz w:val="28"/>
          <w:szCs w:val="28"/>
          <w:highlight w:val="none"/>
        </w:rPr>
        <w:t>《近岸海域环境监测技术规范 第六部分 近岸海域生物监测》</w:t>
      </w:r>
      <w:r>
        <w:rPr>
          <w:rFonts w:hint="eastAsia" w:ascii="仿宋_GB2312" w:hAnsi="微软雅黑" w:eastAsia="仿宋_GB2312" w:cs="宋体"/>
          <w:kern w:val="0"/>
          <w:sz w:val="28"/>
          <w:szCs w:val="28"/>
          <w:highlight w:val="none"/>
          <w:lang w:eastAsia="zh-CN"/>
        </w:rPr>
        <w:t>、</w:t>
      </w:r>
      <w:r>
        <w:rPr>
          <w:rFonts w:hint="eastAsia" w:ascii="仿宋_GB2312" w:hAnsi="微软雅黑" w:eastAsia="仿宋_GB2312" w:cs="宋体"/>
          <w:kern w:val="0"/>
          <w:sz w:val="28"/>
          <w:szCs w:val="28"/>
          <w:highlight w:val="none"/>
        </w:rPr>
        <w:t>《淡水浮游生物调查技术规范》，将现有国家、行业生物监测成熟要求，衔接适配图像扫描分析技术，保障本标准与现有监测体系的协调性。</w:t>
      </w:r>
    </w:p>
    <w:p w14:paraId="6B92A24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本标准未设置强制性检验规则，标准为技术操作规范，用于指导实验室业务监测，不针对设备出厂检验。</w:t>
      </w:r>
    </w:p>
    <w:p w14:paraId="62902DC2">
      <w:pPr>
        <w:numPr>
          <w:ilvl w:val="0"/>
          <w:numId w:val="0"/>
        </w:numPr>
        <w:spacing w:line="480" w:lineRule="exact"/>
        <w:ind w:leftChars="200"/>
        <w:rPr>
          <w:rFonts w:hint="eastAsia" w:ascii="仿宋_GB2312" w:hAnsi="微软雅黑" w:eastAsia="仿宋_GB2312" w:cs="宋体"/>
          <w:kern w:val="0"/>
          <w:sz w:val="32"/>
          <w:szCs w:val="32"/>
        </w:rPr>
      </w:pPr>
    </w:p>
    <w:p w14:paraId="0DE00DD8">
      <w:pPr>
        <w:numPr>
          <w:ilvl w:val="0"/>
          <w:numId w:val="2"/>
        </w:numPr>
        <w:spacing w:line="480" w:lineRule="exact"/>
        <w:ind w:left="0" w:leftChars="0" w:firstLine="640" w:firstLineChars="200"/>
        <w:rPr>
          <w:rFonts w:hint="eastAsia" w:ascii="仿宋_GB2312" w:hAnsi="微软雅黑" w:eastAsia="仿宋_GB2312" w:cs="宋体"/>
          <w:kern w:val="0"/>
          <w:sz w:val="32"/>
          <w:szCs w:val="32"/>
        </w:rPr>
      </w:pPr>
      <w:r>
        <w:rPr>
          <w:rFonts w:hint="eastAsia" w:ascii="仿宋_GB2312" w:hAnsi="微软雅黑" w:eastAsia="仿宋_GB2312" w:cs="宋体"/>
          <w:kern w:val="0"/>
          <w:sz w:val="32"/>
          <w:szCs w:val="32"/>
        </w:rPr>
        <w:t>主要试验（验证）的分析、综述报告，技术经济论证，预期的经济效果；</w:t>
      </w:r>
    </w:p>
    <w:p w14:paraId="757465D3">
      <w:pPr>
        <w:numPr>
          <w:ilvl w:val="0"/>
          <w:numId w:val="7"/>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主要试验验证综述</w:t>
      </w:r>
    </w:p>
    <w:p w14:paraId="470F080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起草组联合多家科研、监测单位开展室内样品比对试验与模拟条件验证。</w:t>
      </w:r>
    </w:p>
    <w:p w14:paraId="171B655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室内比对：采用多批次海洋、淡水浮游动物固定样品，开展不同扫描分辨率、扫描时长、样品浓度条件下的重复测试，比对不同参数对分割效果、形态参数输出、识别正确率的影响，优化硬件阈值、扫描操作流程；开展传统人工镜检与</w:t>
      </w:r>
      <w:r>
        <w:rPr>
          <w:rFonts w:hint="eastAsia" w:ascii="仿宋_GB2312" w:hAnsi="微软雅黑" w:eastAsia="仿宋_GB2312" w:cs="宋体"/>
          <w:kern w:val="0"/>
          <w:sz w:val="28"/>
          <w:szCs w:val="28"/>
          <w:highlight w:val="none"/>
          <w:lang w:val="en-US" w:eastAsia="zh-CN"/>
        </w:rPr>
        <w:t>图像扫描分析系统扫描、识别、计数</w:t>
      </w:r>
      <w:r>
        <w:rPr>
          <w:rFonts w:hint="eastAsia" w:ascii="仿宋_GB2312" w:hAnsi="微软雅黑" w:eastAsia="仿宋_GB2312" w:cs="宋体"/>
          <w:kern w:val="0"/>
          <w:sz w:val="28"/>
          <w:szCs w:val="28"/>
          <w:highlight w:val="none"/>
        </w:rPr>
        <w:t>结果室内比对，统计识别错误率，论证第8章质量控制指标合理性。</w:t>
      </w:r>
    </w:p>
    <w:p w14:paraId="6E4D777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多单位实验室平行比对：各参与单位在本单位实验室内，使用统一或同源浮游动物样品，开展样品前处理、分样稀释、设备连续运行、图像质量控制、数据库识别、人工复核等全流程测试，检验标准条款在不同实验室条件下的可操作性。</w:t>
      </w:r>
    </w:p>
    <w:p w14:paraId="47C25CB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多单位室内比对结果表明：在遵循本标准规定的硬件条件、操作流程、质量控制要求前提下，</w:t>
      </w:r>
      <w:r>
        <w:rPr>
          <w:rFonts w:hint="eastAsia" w:ascii="仿宋_GB2312" w:hAnsi="微软雅黑" w:eastAsia="仿宋_GB2312" w:cs="宋体"/>
          <w:kern w:val="0"/>
          <w:sz w:val="28"/>
          <w:szCs w:val="28"/>
          <w:highlight w:val="none"/>
          <w:lang w:val="en-US" w:eastAsia="zh-CN"/>
        </w:rPr>
        <w:t>图像扫描分析系统扫描、识别、计数</w:t>
      </w:r>
      <w:r>
        <w:rPr>
          <w:rFonts w:hint="eastAsia" w:ascii="仿宋_GB2312" w:hAnsi="微软雅黑" w:eastAsia="仿宋_GB2312" w:cs="宋体"/>
          <w:kern w:val="0"/>
          <w:sz w:val="28"/>
          <w:szCs w:val="28"/>
          <w:highlight w:val="none"/>
        </w:rPr>
        <w:t>结果具备较好</w:t>
      </w:r>
      <w:r>
        <w:rPr>
          <w:rFonts w:hint="eastAsia" w:ascii="仿宋_GB2312" w:hAnsi="微软雅黑" w:eastAsia="仿宋_GB2312" w:cs="宋体"/>
          <w:kern w:val="0"/>
          <w:sz w:val="28"/>
          <w:szCs w:val="28"/>
          <w:highlight w:val="none"/>
          <w:lang w:eastAsia="zh-CN"/>
        </w:rPr>
        <w:t>的</w:t>
      </w:r>
      <w:r>
        <w:rPr>
          <w:rFonts w:hint="eastAsia" w:ascii="仿宋_GB2312" w:hAnsi="微软雅黑" w:eastAsia="仿宋_GB2312" w:cs="宋体"/>
          <w:kern w:val="0"/>
          <w:sz w:val="28"/>
          <w:szCs w:val="28"/>
          <w:highlight w:val="none"/>
        </w:rPr>
        <w:t>重复性，可满足实验室条件下浮游动物分析及后续业务化监测应用需求。</w:t>
      </w:r>
    </w:p>
    <w:p w14:paraId="1503F83B">
      <w:pPr>
        <w:numPr>
          <w:ilvl w:val="0"/>
          <w:numId w:val="7"/>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技术经济论证</w:t>
      </w:r>
    </w:p>
    <w:p w14:paraId="1F6E711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传统浮游动物人工镜检方式，对分类人员专业经验依赖性强，大样本分析耗时长，人力成本高，大批量监测任务开展受限。</w:t>
      </w:r>
    </w:p>
    <w:p w14:paraId="4EE88CC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本标准统一浮游动物图像扫描分析系统全流程技术规范，有利于不同机构、不同设备产出的数据可对比、可共享，降低各单位自行摸索操作流程带来的试错成本；智能化识别可以显著提升样品处理通量，降低大样本监测对高级分类学人员的人力消耗。</w:t>
      </w:r>
    </w:p>
    <w:p w14:paraId="1BF92C03">
      <w:pPr>
        <w:numPr>
          <w:ilvl w:val="0"/>
          <w:numId w:val="7"/>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预期经济效果</w:t>
      </w:r>
    </w:p>
    <w:p w14:paraId="2712105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lang w:eastAsia="zh-CN"/>
        </w:rPr>
        <w:t>（</w:t>
      </w:r>
      <w:r>
        <w:rPr>
          <w:rFonts w:hint="eastAsia" w:ascii="仿宋_GB2312" w:hAnsi="微软雅黑" w:eastAsia="仿宋_GB2312" w:cs="宋体"/>
          <w:kern w:val="0"/>
          <w:sz w:val="28"/>
          <w:szCs w:val="28"/>
          <w:highlight w:val="none"/>
          <w:lang w:val="en-US" w:eastAsia="zh-CN"/>
        </w:rPr>
        <w:t>1</w:t>
      </w:r>
      <w:r>
        <w:rPr>
          <w:rFonts w:hint="eastAsia" w:ascii="仿宋_GB2312" w:hAnsi="微软雅黑" w:eastAsia="仿宋_GB2312" w:cs="宋体"/>
          <w:kern w:val="0"/>
          <w:sz w:val="28"/>
          <w:szCs w:val="28"/>
          <w:highlight w:val="none"/>
          <w:lang w:eastAsia="zh-CN"/>
        </w:rPr>
        <w:t>）</w:t>
      </w:r>
      <w:r>
        <w:rPr>
          <w:rFonts w:hint="eastAsia" w:ascii="仿宋_GB2312" w:hAnsi="微软雅黑" w:eastAsia="仿宋_GB2312" w:cs="宋体"/>
          <w:kern w:val="0"/>
          <w:sz w:val="28"/>
          <w:szCs w:val="28"/>
          <w:highlight w:val="none"/>
        </w:rPr>
        <w:t>业务监测层面：支撑近海生态监测、海洋环境调查浮游动物大样本批量分析，提升监测工作效率，降低大批量样品分析的人力时间成本；</w:t>
      </w:r>
    </w:p>
    <w:p w14:paraId="6E0C353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lang w:eastAsia="zh-CN"/>
        </w:rPr>
        <w:t>（</w:t>
      </w:r>
      <w:r>
        <w:rPr>
          <w:rFonts w:hint="eastAsia" w:ascii="仿宋_GB2312" w:hAnsi="微软雅黑" w:eastAsia="仿宋_GB2312" w:cs="宋体"/>
          <w:kern w:val="0"/>
          <w:sz w:val="28"/>
          <w:szCs w:val="28"/>
          <w:highlight w:val="none"/>
          <w:lang w:val="en-US" w:eastAsia="zh-CN"/>
        </w:rPr>
        <w:t>2</w:t>
      </w:r>
      <w:r>
        <w:rPr>
          <w:rFonts w:hint="eastAsia" w:ascii="仿宋_GB2312" w:hAnsi="微软雅黑" w:eastAsia="仿宋_GB2312" w:cs="宋体"/>
          <w:kern w:val="0"/>
          <w:sz w:val="28"/>
          <w:szCs w:val="28"/>
          <w:highlight w:val="none"/>
          <w:lang w:eastAsia="zh-CN"/>
        </w:rPr>
        <w:t>）</w:t>
      </w:r>
      <w:r>
        <w:rPr>
          <w:rFonts w:hint="eastAsia" w:ascii="仿宋_GB2312" w:hAnsi="微软雅黑" w:eastAsia="仿宋_GB2312" w:cs="宋体"/>
          <w:kern w:val="0"/>
          <w:sz w:val="28"/>
          <w:szCs w:val="28"/>
          <w:highlight w:val="none"/>
        </w:rPr>
        <w:t>科研层面：促进跨机构浮游动物图像数据集互通，减少重复建库、重复试验的投入；</w:t>
      </w:r>
    </w:p>
    <w:p w14:paraId="66BAE29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lang w:eastAsia="zh-CN"/>
        </w:rPr>
        <w:t>（</w:t>
      </w:r>
      <w:r>
        <w:rPr>
          <w:rFonts w:hint="eastAsia" w:ascii="仿宋_GB2312" w:hAnsi="微软雅黑" w:eastAsia="仿宋_GB2312" w:cs="宋体"/>
          <w:kern w:val="0"/>
          <w:sz w:val="28"/>
          <w:szCs w:val="28"/>
          <w:highlight w:val="none"/>
          <w:lang w:val="en-US" w:eastAsia="zh-CN"/>
        </w:rPr>
        <w:t>3</w:t>
      </w:r>
      <w:r>
        <w:rPr>
          <w:rFonts w:hint="eastAsia" w:ascii="仿宋_GB2312" w:hAnsi="微软雅黑" w:eastAsia="仿宋_GB2312" w:cs="宋体"/>
          <w:kern w:val="0"/>
          <w:sz w:val="28"/>
          <w:szCs w:val="28"/>
          <w:highlight w:val="none"/>
          <w:lang w:eastAsia="zh-CN"/>
        </w:rPr>
        <w:t>）</w:t>
      </w:r>
      <w:r>
        <w:rPr>
          <w:rFonts w:hint="eastAsia" w:ascii="仿宋_GB2312" w:hAnsi="微软雅黑" w:eastAsia="仿宋_GB2312" w:cs="宋体"/>
          <w:kern w:val="0"/>
          <w:sz w:val="28"/>
          <w:szCs w:val="28"/>
          <w:highlight w:val="none"/>
        </w:rPr>
        <w:t>产业应用层面：为浮游动物智能成像设备的应用推广提供统一技术标尺，助力海洋生态监测智能化技术落地，服务海洋生态保护、海洋环境评估业务。</w:t>
      </w:r>
    </w:p>
    <w:p w14:paraId="72723C4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注：本标准为技术操作规范，不直接产生经济效益，其效益主要体现在生态环境保护和监测业务层面的社会效益。</w:t>
      </w:r>
    </w:p>
    <w:p w14:paraId="103C333C">
      <w:pPr>
        <w:widowControl w:val="0"/>
        <w:numPr>
          <w:ilvl w:val="0"/>
          <w:numId w:val="0"/>
        </w:numPr>
        <w:spacing w:line="480" w:lineRule="exact"/>
        <w:jc w:val="both"/>
        <w:rPr>
          <w:rFonts w:hint="eastAsia" w:ascii="仿宋_GB2312" w:hAnsi="微软雅黑" w:eastAsia="仿宋_GB2312" w:cs="宋体"/>
          <w:kern w:val="0"/>
          <w:sz w:val="32"/>
          <w:szCs w:val="32"/>
        </w:rPr>
      </w:pPr>
    </w:p>
    <w:p w14:paraId="677FD309">
      <w:pPr>
        <w:numPr>
          <w:ilvl w:val="0"/>
          <w:numId w:val="2"/>
        </w:numPr>
        <w:spacing w:line="480" w:lineRule="exact"/>
        <w:ind w:left="0" w:leftChars="0" w:firstLine="640" w:firstLineChars="200"/>
        <w:rPr>
          <w:rFonts w:hint="eastAsia" w:ascii="仿宋_GB2312" w:hAnsi="微软雅黑" w:eastAsia="仿宋_GB2312" w:cs="宋体"/>
          <w:kern w:val="0"/>
          <w:sz w:val="32"/>
          <w:szCs w:val="32"/>
        </w:rPr>
      </w:pPr>
      <w:r>
        <w:rPr>
          <w:rFonts w:hint="eastAsia" w:ascii="仿宋_GB2312" w:hAnsi="微软雅黑" w:eastAsia="仿宋_GB2312" w:cs="宋体"/>
          <w:kern w:val="0"/>
          <w:sz w:val="32"/>
          <w:szCs w:val="32"/>
        </w:rPr>
        <w:t>采用国际标准的程度及水平的简要说明；</w:t>
      </w:r>
    </w:p>
    <w:p w14:paraId="4DBD4D0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经调研，国外已有浮游动物成像观测设备相关应用文献与技术报告，但没有发布可直接等同采用的国际标准、国外标准化文件。</w:t>
      </w:r>
    </w:p>
    <w:p w14:paraId="385C7D9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本标准为自主研制团体标准，充分调研借鉴国</w:t>
      </w:r>
      <w:r>
        <w:rPr>
          <w:rFonts w:hint="eastAsia" w:ascii="仿宋_GB2312" w:hAnsi="微软雅黑" w:eastAsia="仿宋_GB2312" w:cs="宋体"/>
          <w:kern w:val="0"/>
          <w:sz w:val="28"/>
          <w:szCs w:val="28"/>
          <w:highlight w:val="none"/>
          <w:lang w:val="en-US" w:eastAsia="zh-CN"/>
        </w:rPr>
        <w:t>内</w:t>
      </w:r>
      <w:r>
        <w:rPr>
          <w:rFonts w:hint="eastAsia" w:ascii="仿宋_GB2312" w:hAnsi="微软雅黑" w:eastAsia="仿宋_GB2312" w:cs="宋体"/>
          <w:kern w:val="0"/>
          <w:sz w:val="28"/>
          <w:szCs w:val="28"/>
          <w:highlight w:val="none"/>
        </w:rPr>
        <w:t>外同类设备的技术实践经验，结合我国海洋、淡水浮游动物业务监测的实际业务需求、样品条件、现有监测体系要求编制，不属于等同、修改采用国际标准的情形。标准整体技术水平适配国内浮游动物智能化监测业务现实需要，填补国内该领域技术规范空白。</w:t>
      </w:r>
    </w:p>
    <w:p w14:paraId="71651D22">
      <w:pPr>
        <w:numPr>
          <w:ilvl w:val="0"/>
          <w:numId w:val="0"/>
        </w:numPr>
        <w:spacing w:line="480" w:lineRule="exact"/>
        <w:ind w:leftChars="200"/>
        <w:rPr>
          <w:rFonts w:hint="eastAsia" w:ascii="仿宋_GB2312" w:hAnsi="微软雅黑" w:eastAsia="仿宋_GB2312" w:cs="宋体"/>
          <w:kern w:val="0"/>
          <w:sz w:val="32"/>
          <w:szCs w:val="32"/>
        </w:rPr>
      </w:pPr>
    </w:p>
    <w:p w14:paraId="2DCFE99F">
      <w:pPr>
        <w:numPr>
          <w:ilvl w:val="0"/>
          <w:numId w:val="2"/>
        </w:numPr>
        <w:spacing w:line="480" w:lineRule="exact"/>
        <w:ind w:left="0" w:leftChars="0" w:firstLine="640" w:firstLineChars="200"/>
        <w:rPr>
          <w:rFonts w:hint="eastAsia" w:ascii="仿宋_GB2312" w:hAnsi="微软雅黑" w:eastAsia="仿宋_GB2312" w:cs="宋体"/>
          <w:kern w:val="0"/>
          <w:sz w:val="32"/>
          <w:szCs w:val="32"/>
        </w:rPr>
      </w:pPr>
      <w:r>
        <w:rPr>
          <w:rFonts w:hint="eastAsia" w:ascii="仿宋_GB2312" w:hAnsi="微软雅黑" w:eastAsia="仿宋_GB2312" w:cs="宋体"/>
          <w:kern w:val="0"/>
          <w:sz w:val="32"/>
          <w:szCs w:val="32"/>
        </w:rPr>
        <w:t>重大分歧意见的处理经过和依据；</w:t>
      </w:r>
    </w:p>
    <w:p w14:paraId="0E0796F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本标准编制过程中，起草组通过线上会议、书面函审、实验室联合比对试验开展多轮研讨。编制过程主要焦点集中在：①</w:t>
      </w:r>
      <w:r>
        <w:rPr>
          <w:rFonts w:hint="eastAsia" w:ascii="仿宋_GB2312" w:hAnsi="微软雅黑" w:eastAsia="仿宋_GB2312" w:cs="宋体"/>
          <w:kern w:val="0"/>
          <w:sz w:val="28"/>
          <w:szCs w:val="28"/>
          <w:highlight w:val="none"/>
          <w:lang w:val="en-US" w:eastAsia="zh-CN"/>
        </w:rPr>
        <w:t>自动</w:t>
      </w:r>
      <w:r>
        <w:rPr>
          <w:rFonts w:hint="eastAsia" w:ascii="仿宋_GB2312" w:hAnsi="微软雅黑" w:eastAsia="仿宋_GB2312" w:cs="宋体"/>
          <w:kern w:val="0"/>
          <w:sz w:val="28"/>
          <w:szCs w:val="28"/>
          <w:highlight w:val="none"/>
        </w:rPr>
        <w:t>识别错误率控制指标取值；②样品清洗后最长允许扫描保存时限；③生物量估算模型选用。</w:t>
      </w:r>
    </w:p>
    <w:p w14:paraId="0C2444E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关于种类鉴定错误率控制指标：部分单位提出应设置更严格的错误率阈值；另有单位提出当前</w:t>
      </w:r>
      <w:r>
        <w:rPr>
          <w:rFonts w:hint="eastAsia" w:ascii="仿宋_GB2312" w:hAnsi="微软雅黑" w:eastAsia="仿宋_GB2312" w:cs="宋体"/>
          <w:kern w:val="0"/>
          <w:sz w:val="28"/>
          <w:szCs w:val="28"/>
          <w:highlight w:val="none"/>
          <w:lang w:val="en-US" w:eastAsia="zh-CN"/>
        </w:rPr>
        <w:t>自动</w:t>
      </w:r>
      <w:r>
        <w:rPr>
          <w:rFonts w:hint="eastAsia" w:ascii="仿宋_GB2312" w:hAnsi="微软雅黑" w:eastAsia="仿宋_GB2312" w:cs="宋体"/>
          <w:kern w:val="0"/>
          <w:sz w:val="28"/>
          <w:szCs w:val="28"/>
          <w:highlight w:val="none"/>
        </w:rPr>
        <w:t>识别受物种、样品状态影响，不宜设置过严指标。起草组汇总多批次室内比对试验统计数据，综合业务监测可行性，确定复核错误率不超过20%，并设置超标后的分级处置规则，经集体研讨达成一致。</w:t>
      </w:r>
    </w:p>
    <w:p w14:paraId="08F576F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关于样品保存时限：部分科研单位希望延长冷藏保存时限，监测单位强调样品降解风险。起草组参考现有生物监测标准与室内样品降解试验情况，确定清洗后宜24 h内扫描，最长不超过48 h冷藏避光，兼顾实操可行性与数据质量。</w:t>
      </w:r>
    </w:p>
    <w:p w14:paraId="6103090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生物量估算模型：存在体积几何模型、体长</w:t>
      </w:r>
      <w:r>
        <w:rPr>
          <w:rFonts w:hint="eastAsia" w:ascii="仿宋_GB2312" w:hAnsi="微软雅黑" w:eastAsia="仿宋_GB2312" w:cs="宋体"/>
          <w:kern w:val="0"/>
          <w:sz w:val="28"/>
          <w:szCs w:val="28"/>
          <w:highlight w:val="none"/>
          <w:lang w:val="en-US" w:eastAsia="zh-CN"/>
        </w:rPr>
        <w:t>-</w:t>
      </w:r>
      <w:r>
        <w:rPr>
          <w:rFonts w:hint="eastAsia" w:ascii="仿宋_GB2312" w:hAnsi="微软雅黑" w:eastAsia="仿宋_GB2312" w:cs="宋体"/>
          <w:kern w:val="0"/>
          <w:sz w:val="28"/>
          <w:szCs w:val="28"/>
          <w:highlight w:val="none"/>
        </w:rPr>
        <w:t>生物量回归模型两种技术路线的讨论。标准不强制限定单一模型，两种方法均予以纳入，要求记录模型来源、换算参数，满足不同科研和业务场景使用。</w:t>
      </w:r>
    </w:p>
    <w:p w14:paraId="32C21EF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以上问题经起草组充分技术论证、室内试验数据支撑，所有重大技术分歧均已达成统一意见，无未解决的重大分歧。</w:t>
      </w:r>
    </w:p>
    <w:p w14:paraId="1C423B13">
      <w:pPr>
        <w:numPr>
          <w:ilvl w:val="0"/>
          <w:numId w:val="2"/>
        </w:numPr>
        <w:spacing w:line="480" w:lineRule="exact"/>
        <w:ind w:left="0" w:leftChars="0" w:firstLine="640" w:firstLineChars="200"/>
        <w:rPr>
          <w:rFonts w:hint="eastAsia" w:ascii="仿宋_GB2312" w:hAnsi="微软雅黑" w:eastAsia="仿宋_GB2312" w:cs="宋体"/>
          <w:kern w:val="0"/>
          <w:sz w:val="32"/>
          <w:szCs w:val="32"/>
        </w:rPr>
      </w:pPr>
      <w:r>
        <w:rPr>
          <w:rFonts w:hint="eastAsia" w:ascii="仿宋_GB2312" w:hAnsi="微软雅黑" w:eastAsia="仿宋_GB2312" w:cs="宋体"/>
          <w:kern w:val="0"/>
          <w:sz w:val="32"/>
          <w:szCs w:val="32"/>
        </w:rPr>
        <w:t>贯彻学会标准的要求和措施建议（包括组织措施、技术措施、过渡办法等内容）；</w:t>
      </w:r>
    </w:p>
    <w:p w14:paraId="33E4EB9C">
      <w:pPr>
        <w:numPr>
          <w:ilvl w:val="0"/>
          <w:numId w:val="8"/>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组织措施</w:t>
      </w:r>
    </w:p>
    <w:p w14:paraId="784BA9F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标准发布后，由中国海洋学会组织开展标准宣贯培训，面向海洋环境监测机构、海洋科研院所、生态环境监测部门、相关设备技术企业开展标准解读；</w:t>
      </w:r>
    </w:p>
    <w:p w14:paraId="078824B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鼓励海洋生态监测业务项目、科研调查项目优先采用本标准开展浮游动物图像扫描识别计数工作，注重积累实际应用案例；</w:t>
      </w:r>
    </w:p>
    <w:p w14:paraId="079C3EF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鼓励相关单位将本标准纳入内部作业指导书，规范本单位浮游动物智能扫描分析工作流程。</w:t>
      </w:r>
    </w:p>
    <w:p w14:paraId="44481204">
      <w:pPr>
        <w:numPr>
          <w:ilvl w:val="0"/>
          <w:numId w:val="8"/>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技术措施</w:t>
      </w:r>
    </w:p>
    <w:p w14:paraId="1A7851D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优先在实验室条件下推广应用本标准，逐步积累应用数据；鼓励有条件的单位在实际监测项目中开展试点应用，收集标准条款在</w:t>
      </w:r>
      <w:r>
        <w:rPr>
          <w:rFonts w:hint="eastAsia" w:ascii="仿宋_GB2312" w:hAnsi="微软雅黑" w:eastAsia="仿宋_GB2312" w:cs="宋体"/>
          <w:kern w:val="0"/>
          <w:sz w:val="28"/>
          <w:szCs w:val="28"/>
          <w:highlight w:val="none"/>
          <w:lang w:val="en-US" w:eastAsia="zh-CN"/>
        </w:rPr>
        <w:t>常规</w:t>
      </w:r>
      <w:r>
        <w:rPr>
          <w:rFonts w:hint="eastAsia" w:ascii="仿宋_GB2312" w:hAnsi="微软雅黑" w:eastAsia="仿宋_GB2312" w:cs="宋体"/>
          <w:kern w:val="0"/>
          <w:sz w:val="28"/>
          <w:szCs w:val="28"/>
          <w:highlight w:val="none"/>
        </w:rPr>
        <w:t>样品条件下的使用反馈；</w:t>
      </w:r>
    </w:p>
    <w:p w14:paraId="01FBABB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配套开展技术培训，对样品前处理、扫描操作、图像质量控制、人工复核、生物量估算等关键环节开展实操培训。</w:t>
      </w:r>
    </w:p>
    <w:p w14:paraId="64563C8D">
      <w:pPr>
        <w:numPr>
          <w:ilvl w:val="0"/>
          <w:numId w:val="8"/>
        </w:numPr>
        <w:spacing w:line="480" w:lineRule="exact"/>
        <w:ind w:leftChars="0"/>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过渡办法</w:t>
      </w:r>
    </w:p>
    <w:p w14:paraId="77E88E2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highlight w:val="none"/>
        </w:rPr>
        <w:t>本标准为推荐性团体标准，不设置强制过渡期。标准实施后，已有的历史图像扫描数据，可参照本标准的数据格式、质量控制要求开展归档与二次复用。</w:t>
      </w:r>
    </w:p>
    <w:p w14:paraId="4A4D5851">
      <w:pPr>
        <w:numPr>
          <w:ilvl w:val="0"/>
          <w:numId w:val="0"/>
        </w:numPr>
        <w:spacing w:line="480" w:lineRule="exact"/>
        <w:rPr>
          <w:rFonts w:hint="eastAsia" w:ascii="仿宋_GB2312" w:hAnsi="微软雅黑" w:eastAsia="仿宋_GB2312" w:cs="宋体"/>
          <w:kern w:val="0"/>
          <w:sz w:val="32"/>
          <w:szCs w:val="32"/>
        </w:rPr>
      </w:pPr>
    </w:p>
    <w:p w14:paraId="33E1183A">
      <w:pPr>
        <w:spacing w:line="480" w:lineRule="exact"/>
        <w:ind w:firstLine="640" w:firstLineChars="200"/>
        <w:rPr>
          <w:rFonts w:ascii="仿宋_GB2312" w:hAnsi="微软雅黑" w:eastAsia="仿宋_GB2312" w:cs="宋体"/>
          <w:kern w:val="0"/>
          <w:sz w:val="32"/>
          <w:szCs w:val="32"/>
        </w:rPr>
      </w:pPr>
      <w:r>
        <w:rPr>
          <w:rFonts w:hint="eastAsia" w:ascii="仿宋_GB2312" w:hAnsi="微软雅黑" w:eastAsia="仿宋_GB2312" w:cs="宋体"/>
          <w:kern w:val="0"/>
          <w:sz w:val="32"/>
          <w:szCs w:val="32"/>
        </w:rPr>
        <w:t>七、其它应予说明的事项。</w:t>
      </w:r>
    </w:p>
    <w:p w14:paraId="45701E4C">
      <w:pPr>
        <w:keepNext w:val="0"/>
        <w:keepLines w:val="0"/>
        <w:pageBreakBefore w:val="0"/>
        <w:widowControl w:val="0"/>
        <w:numPr>
          <w:ilvl w:val="0"/>
          <w:numId w:val="9"/>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本文件部分内容有可能涉及专利。本文件的发布机构不承担识别这些专利的责任。</w:t>
      </w:r>
    </w:p>
    <w:p w14:paraId="34FFC154">
      <w:pPr>
        <w:keepNext w:val="0"/>
        <w:keepLines w:val="0"/>
        <w:pageBreakBefore w:val="0"/>
        <w:widowControl w:val="0"/>
        <w:numPr>
          <w:ilvl w:val="0"/>
          <w:numId w:val="9"/>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rPr>
      </w:pPr>
      <w:r>
        <w:rPr>
          <w:rFonts w:hint="eastAsia" w:ascii="仿宋_GB2312" w:hAnsi="微软雅黑" w:eastAsia="仿宋_GB2312" w:cs="宋体"/>
          <w:kern w:val="0"/>
          <w:sz w:val="28"/>
          <w:szCs w:val="28"/>
        </w:rPr>
        <w:t>本标准适用于经过固定处理的浮游动物样品，不适用于活体样品直接扫描分析。标准针对网具采集获得的200 μm～10000 μm粒径范围浮游动物样品；更小粒径浮游生物不在本标准适用范围。</w:t>
      </w:r>
    </w:p>
    <w:p w14:paraId="24D29FFB">
      <w:pPr>
        <w:keepNext w:val="0"/>
        <w:keepLines w:val="0"/>
        <w:pageBreakBefore w:val="0"/>
        <w:widowControl w:val="0"/>
        <w:numPr>
          <w:ilvl w:val="0"/>
          <w:numId w:val="9"/>
        </w:numPr>
        <w:kinsoku/>
        <w:wordWrap/>
        <w:overflowPunct/>
        <w:topLinePunct w:val="0"/>
        <w:autoSpaceDE/>
        <w:autoSpaceDN/>
        <w:bidi w:val="0"/>
        <w:adjustRightInd/>
        <w:snapToGrid/>
        <w:spacing w:line="480" w:lineRule="exact"/>
        <w:ind w:leftChars="0" w:firstLine="560" w:firstLineChars="200"/>
        <w:textAlignment w:val="auto"/>
        <w:rPr>
          <w:rFonts w:hint="eastAsia" w:ascii="仿宋_GB2312" w:hAnsi="微软雅黑" w:eastAsia="仿宋_GB2312" w:cs="宋体"/>
          <w:kern w:val="0"/>
          <w:sz w:val="28"/>
          <w:szCs w:val="28"/>
          <w:highlight w:val="none"/>
        </w:rPr>
      </w:pPr>
      <w:r>
        <w:rPr>
          <w:rFonts w:hint="eastAsia" w:ascii="仿宋_GB2312" w:hAnsi="微软雅黑" w:eastAsia="仿宋_GB2312" w:cs="宋体"/>
          <w:kern w:val="0"/>
          <w:sz w:val="28"/>
          <w:szCs w:val="28"/>
        </w:rPr>
        <w:t>附录A为规范性附录，规定形态学信息参数表，是本标准不可缺少的组成部分。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46B1F8"/>
    <w:multiLevelType w:val="singleLevel"/>
    <w:tmpl w:val="BD46B1F8"/>
    <w:lvl w:ilvl="0" w:tentative="0">
      <w:start w:val="1"/>
      <w:numFmt w:val="decimal"/>
      <w:suff w:val="nothing"/>
      <w:lvlText w:val="（%1）"/>
      <w:lvlJc w:val="left"/>
    </w:lvl>
  </w:abstractNum>
  <w:abstractNum w:abstractNumId="1">
    <w:nsid w:val="D50B0E3E"/>
    <w:multiLevelType w:val="singleLevel"/>
    <w:tmpl w:val="D50B0E3E"/>
    <w:lvl w:ilvl="0" w:tentative="0">
      <w:start w:val="1"/>
      <w:numFmt w:val="decimal"/>
      <w:suff w:val="nothing"/>
      <w:lvlText w:val="（%1）"/>
      <w:lvlJc w:val="left"/>
    </w:lvl>
  </w:abstractNum>
  <w:abstractNum w:abstractNumId="2">
    <w:nsid w:val="FD9DDA2C"/>
    <w:multiLevelType w:val="singleLevel"/>
    <w:tmpl w:val="FD9DDA2C"/>
    <w:lvl w:ilvl="0" w:tentative="0">
      <w:start w:val="1"/>
      <w:numFmt w:val="decimal"/>
      <w:suff w:val="space"/>
      <w:lvlText w:val="%1."/>
      <w:lvlJc w:val="left"/>
    </w:lvl>
  </w:abstractNum>
  <w:abstractNum w:abstractNumId="3">
    <w:nsid w:val="0EC97C74"/>
    <w:multiLevelType w:val="singleLevel"/>
    <w:tmpl w:val="0EC97C74"/>
    <w:lvl w:ilvl="0" w:tentative="0">
      <w:start w:val="1"/>
      <w:numFmt w:val="decimal"/>
      <w:suff w:val="space"/>
      <w:lvlText w:val="%1."/>
      <w:lvlJc w:val="left"/>
    </w:lvl>
  </w:abstractNum>
  <w:abstractNum w:abstractNumId="4">
    <w:nsid w:val="150DB315"/>
    <w:multiLevelType w:val="singleLevel"/>
    <w:tmpl w:val="150DB315"/>
    <w:lvl w:ilvl="0" w:tentative="0">
      <w:start w:val="1"/>
      <w:numFmt w:val="decimal"/>
      <w:suff w:val="space"/>
      <w:lvlText w:val="%1."/>
      <w:lvlJc w:val="left"/>
    </w:lvl>
  </w:abstractNum>
  <w:abstractNum w:abstractNumId="5">
    <w:nsid w:val="22041E69"/>
    <w:multiLevelType w:val="singleLevel"/>
    <w:tmpl w:val="22041E69"/>
    <w:lvl w:ilvl="0" w:tentative="0">
      <w:start w:val="1"/>
      <w:numFmt w:val="decimal"/>
      <w:suff w:val="space"/>
      <w:lvlText w:val="%1."/>
      <w:lvlJc w:val="left"/>
    </w:lvl>
  </w:abstractNum>
  <w:abstractNum w:abstractNumId="6">
    <w:nsid w:val="243C09AD"/>
    <w:multiLevelType w:val="singleLevel"/>
    <w:tmpl w:val="243C09AD"/>
    <w:lvl w:ilvl="0" w:tentative="0">
      <w:start w:val="1"/>
      <w:numFmt w:val="decimal"/>
      <w:suff w:val="space"/>
      <w:lvlText w:val="%1."/>
      <w:lvlJc w:val="left"/>
    </w:lvl>
  </w:abstractNum>
  <w:abstractNum w:abstractNumId="7">
    <w:nsid w:val="646260FA"/>
    <w:multiLevelType w:val="multilevel"/>
    <w:tmpl w:val="646260FA"/>
    <w:lvl w:ilvl="0" w:tentative="0">
      <w:start w:val="1"/>
      <w:numFmt w:val="decimal"/>
      <w:pStyle w:val="13"/>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6A125291"/>
    <w:multiLevelType w:val="singleLevel"/>
    <w:tmpl w:val="6A125291"/>
    <w:lvl w:ilvl="0" w:tentative="0">
      <w:start w:val="1"/>
      <w:numFmt w:val="chineseCounting"/>
      <w:suff w:val="nothing"/>
      <w:lvlText w:val="%1、"/>
      <w:lvlJc w:val="left"/>
      <w:rPr>
        <w:rFonts w:hint="eastAsia"/>
      </w:rPr>
    </w:lvl>
  </w:abstractNum>
  <w:num w:numId="1">
    <w:abstractNumId w:val="7"/>
  </w:num>
  <w:num w:numId="2">
    <w:abstractNumId w:val="8"/>
  </w:num>
  <w:num w:numId="3">
    <w:abstractNumId w:val="2"/>
  </w:num>
  <w:num w:numId="4">
    <w:abstractNumId w:val="0"/>
  </w:num>
  <w:num w:numId="5">
    <w:abstractNumId w:val="1"/>
  </w:num>
  <w:num w:numId="6">
    <w:abstractNumId w:val="3"/>
  </w:num>
  <w:num w:numId="7">
    <w:abstractNumId w:val="5"/>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DC5"/>
    <w:rsid w:val="00065681"/>
    <w:rsid w:val="00083BDD"/>
    <w:rsid w:val="000A1AE8"/>
    <w:rsid w:val="00102E6D"/>
    <w:rsid w:val="00123027"/>
    <w:rsid w:val="0015410C"/>
    <w:rsid w:val="001C0ACF"/>
    <w:rsid w:val="00205D2C"/>
    <w:rsid w:val="002B3FBF"/>
    <w:rsid w:val="002B5BE3"/>
    <w:rsid w:val="00335C71"/>
    <w:rsid w:val="00392AFC"/>
    <w:rsid w:val="003A7B14"/>
    <w:rsid w:val="003F3A80"/>
    <w:rsid w:val="004610E6"/>
    <w:rsid w:val="00507E95"/>
    <w:rsid w:val="005630B4"/>
    <w:rsid w:val="005B676C"/>
    <w:rsid w:val="00637294"/>
    <w:rsid w:val="006C4ACC"/>
    <w:rsid w:val="007608F5"/>
    <w:rsid w:val="00761475"/>
    <w:rsid w:val="007C76F5"/>
    <w:rsid w:val="00824925"/>
    <w:rsid w:val="008450F3"/>
    <w:rsid w:val="00936B1B"/>
    <w:rsid w:val="00965423"/>
    <w:rsid w:val="00990DC5"/>
    <w:rsid w:val="00994A17"/>
    <w:rsid w:val="00A02D62"/>
    <w:rsid w:val="00A6244E"/>
    <w:rsid w:val="00AC4A17"/>
    <w:rsid w:val="00C4172A"/>
    <w:rsid w:val="00CA0FE8"/>
    <w:rsid w:val="00D1215F"/>
    <w:rsid w:val="00D81468"/>
    <w:rsid w:val="00DD080B"/>
    <w:rsid w:val="00F452F2"/>
    <w:rsid w:val="00FC572B"/>
    <w:rsid w:val="04A22EAF"/>
    <w:rsid w:val="0A0F0C2C"/>
    <w:rsid w:val="0DC950AB"/>
    <w:rsid w:val="1B4A3612"/>
    <w:rsid w:val="206F2F29"/>
    <w:rsid w:val="20801F1B"/>
    <w:rsid w:val="214724D8"/>
    <w:rsid w:val="34BD73F9"/>
    <w:rsid w:val="38312021"/>
    <w:rsid w:val="3BEE1FD7"/>
    <w:rsid w:val="3EE93B81"/>
    <w:rsid w:val="3F3044EF"/>
    <w:rsid w:val="41154E1F"/>
    <w:rsid w:val="44206108"/>
    <w:rsid w:val="47155CC3"/>
    <w:rsid w:val="51094886"/>
    <w:rsid w:val="5336648D"/>
    <w:rsid w:val="543232E5"/>
    <w:rsid w:val="596C53D3"/>
    <w:rsid w:val="665F7E45"/>
    <w:rsid w:val="689D41B3"/>
    <w:rsid w:val="68BD19FF"/>
    <w:rsid w:val="6CBF6EF4"/>
    <w:rsid w:val="70944D11"/>
    <w:rsid w:val="71922A95"/>
    <w:rsid w:val="74DC1EAE"/>
    <w:rsid w:val="76866162"/>
    <w:rsid w:val="7BC63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字符"/>
    <w:basedOn w:val="7"/>
    <w:link w:val="2"/>
    <w:semiHidden/>
    <w:qFormat/>
    <w:uiPriority w:val="99"/>
    <w:rPr>
      <w:rFonts w:ascii="Times New Roman" w:hAnsi="Times New Roman" w:eastAsia="宋体" w:cs="Times New Roman"/>
      <w:sz w:val="18"/>
      <w:szCs w:val="18"/>
    </w:rPr>
  </w:style>
  <w:style w:type="paragraph" w:customStyle="1" w:styleId="12">
    <w:name w:val="图表脚注"/>
    <w:next w:val="1"/>
    <w:qFormat/>
    <w:uiPriority w:val="0"/>
    <w:pPr>
      <w:ind w:left="300" w:leftChars="200" w:hanging="100" w:hangingChars="100"/>
      <w:jc w:val="both"/>
    </w:pPr>
    <w:rPr>
      <w:rFonts w:ascii="宋体" w:hAnsi="Times New Roman" w:eastAsia="宋体" w:cs="Times New Roman"/>
      <w:kern w:val="0"/>
      <w:sz w:val="18"/>
      <w:szCs w:val="20"/>
      <w:lang w:val="en-US" w:eastAsia="zh-CN" w:bidi="ar-SA"/>
    </w:rPr>
  </w:style>
  <w:style w:type="paragraph" w:customStyle="1" w:styleId="13">
    <w:name w:val="正文表标题"/>
    <w:next w:val="1"/>
    <w:qFormat/>
    <w:uiPriority w:val="0"/>
    <w:pPr>
      <w:numPr>
        <w:ilvl w:val="0"/>
        <w:numId w:val="1"/>
      </w:numPr>
      <w:jc w:val="center"/>
    </w:pPr>
    <w:rPr>
      <w:rFonts w:ascii="黑体" w:hAnsi="Times New Roman" w:eastAsia="黑体" w:cs="Times New Roman"/>
      <w:kern w:val="0"/>
      <w:sz w:val="21"/>
      <w:szCs w:val="20"/>
      <w:lang w:val="en-US" w:eastAsia="zh-CN" w:bidi="ar-SA"/>
    </w:rPr>
  </w:style>
  <w:style w:type="paragraph" w:customStyle="1" w:styleId="14">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1127</Words>
  <Characters>1157</Characters>
  <Lines>2</Lines>
  <Paragraphs>1</Paragraphs>
  <TotalTime>0</TotalTime>
  <ScaleCrop>false</ScaleCrop>
  <LinksUpToDate>false</LinksUpToDate>
  <CharactersWithSpaces>1165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2021-07-21T06:45:00Z</dcterms:created>
  <dc:creator>hb</dc:creator>
  <cp:lastModifiedBy>18006489773</cp:lastModifiedBy>
  <dcterms:modified xsi:type="dcterms:W3CDTF">2026-10-12T05:31:10Z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eyJoZGlkIjoiZjg1M2M2NjFkODY0NTFlNTM3ZjYzM2ZhMzBjNDBhNGMiLCJ1c2VySWQiOiI5NDg4NzMzNzgifQ==</vt:lpwstr>
  </property>
  <property fmtid="{D5CDD505-2E9C-101B-9397-08002B2CF9AE}" pid="3" name="KSOProductBuildVer">
    <vt:lpwstr>2052-12.1.0.28505</vt:lpwstr>
  </property>
  <property fmtid="{D5CDD505-2E9C-101B-9397-08002B2CF9AE}" pid="4" name="ICV">
    <vt:lpwstr>7B2096A4A645420DA216D6C4BEFF237D_13</vt:lpwstr>
  </property>
</Properties>
</file>