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10D7E">
      <w:pPr>
        <w:ind w:firstLine="560"/>
        <w:rPr>
          <w:rFonts w:hint="eastAsia"/>
        </w:rPr>
      </w:pPr>
    </w:p>
    <w:p w14:paraId="63B64D33">
      <w:pPr>
        <w:pStyle w:val="22"/>
        <w:framePr w:w="0" w:hRule="auto" w:hSpace="0" w:vSpace="0" w:wrap="auto" w:vAnchor="margin" w:hAnchor="text" w:xAlign="left" w:yAlign="inline"/>
        <w:rPr>
          <w:rFonts w:hint="eastAsia" w:ascii="黑体" w:hAnsi="黑体" w:eastAsia="黑体"/>
          <w:b w:val="0"/>
          <w:bCs w:val="0"/>
          <w:w w:val="100"/>
          <w:sz w:val="48"/>
          <w:szCs w:val="48"/>
        </w:rPr>
      </w:pPr>
      <w:bookmarkStart w:id="0" w:name="_Hlk26473981"/>
      <w:r>
        <w:rPr>
          <w:rFonts w:hint="eastAsia" w:ascii="黑体" w:eastAsia="黑体"/>
          <w:b w:val="0"/>
          <w:w w:val="100"/>
          <w:sz w:val="48"/>
        </w:rPr>
        <w:t>团体</w:t>
      </w:r>
      <w:r>
        <w:rPr>
          <w:rFonts w:hint="eastAsia" w:ascii="黑体" w:hAnsi="黑体" w:eastAsia="黑体"/>
          <w:b w:val="0"/>
          <w:bCs w:val="0"/>
          <w:w w:val="100"/>
          <w:sz w:val="48"/>
          <w:szCs w:val="48"/>
        </w:rPr>
        <w:t>标准</w:t>
      </w:r>
    </w:p>
    <w:bookmarkEnd w:id="0"/>
    <w:p w14:paraId="632E69A6">
      <w:pPr>
        <w:ind w:firstLine="560"/>
        <w:rPr>
          <w:rFonts w:hint="eastAsia"/>
        </w:rPr>
      </w:pPr>
    </w:p>
    <w:p w14:paraId="58BE91D4">
      <w:pPr>
        <w:ind w:firstLine="560"/>
        <w:rPr>
          <w:rFonts w:hint="eastAsia"/>
        </w:rPr>
      </w:pPr>
    </w:p>
    <w:p w14:paraId="294D04AC">
      <w:pPr>
        <w:ind w:firstLine="560"/>
        <w:rPr>
          <w:rFonts w:hint="eastAsia"/>
        </w:rPr>
      </w:pPr>
    </w:p>
    <w:p w14:paraId="13B69CA8">
      <w:pPr>
        <w:spacing w:before="156" w:beforeLines="50" w:after="156" w:afterLines="50" w:line="480" w:lineRule="auto"/>
        <w:ind w:firstLine="0" w:firstLineChars="0"/>
        <w:jc w:val="center"/>
        <w:rPr>
          <w:rFonts w:hint="eastAsia"/>
          <w:b/>
          <w:bCs/>
          <w:sz w:val="44"/>
          <w:szCs w:val="40"/>
        </w:rPr>
      </w:pPr>
      <w:r>
        <w:rPr>
          <w:b/>
          <w:bCs/>
          <w:sz w:val="44"/>
          <w:szCs w:val="40"/>
        </w:rPr>
        <w:t>《</w:t>
      </w:r>
      <w:r>
        <w:rPr>
          <w:rFonts w:hint="eastAsia"/>
          <w:b/>
          <w:bCs/>
          <w:sz w:val="44"/>
          <w:szCs w:val="40"/>
          <w:lang w:val="en-US" w:eastAsia="zh-CN"/>
        </w:rPr>
        <w:t>海洋底质调查质量控制规程</w:t>
      </w:r>
      <w:r>
        <w:rPr>
          <w:b/>
          <w:bCs/>
          <w:sz w:val="44"/>
          <w:szCs w:val="40"/>
        </w:rPr>
        <w:t>》</w:t>
      </w:r>
    </w:p>
    <w:p w14:paraId="3F8000DF">
      <w:pPr>
        <w:spacing w:before="156" w:beforeLines="50" w:after="156" w:afterLines="50" w:line="480" w:lineRule="auto"/>
        <w:ind w:firstLine="0" w:firstLineChars="0"/>
        <w:jc w:val="center"/>
        <w:rPr>
          <w:rFonts w:hint="eastAsia"/>
          <w:b/>
          <w:bCs/>
          <w:sz w:val="44"/>
          <w:szCs w:val="40"/>
        </w:rPr>
      </w:pPr>
      <w:r>
        <w:rPr>
          <w:b/>
          <w:bCs/>
          <w:sz w:val="44"/>
          <w:szCs w:val="40"/>
        </w:rPr>
        <w:t>（</w:t>
      </w:r>
      <w:r>
        <w:rPr>
          <w:rFonts w:hint="eastAsia"/>
          <w:b/>
          <w:bCs/>
          <w:sz w:val="44"/>
          <w:szCs w:val="40"/>
          <w:lang w:val="en-US" w:eastAsia="zh-CN"/>
        </w:rPr>
        <w:t>征求意见稿</w:t>
      </w:r>
      <w:r>
        <w:rPr>
          <w:b/>
          <w:bCs/>
          <w:sz w:val="44"/>
          <w:szCs w:val="40"/>
        </w:rPr>
        <w:t>）编制说明</w:t>
      </w:r>
    </w:p>
    <w:p w14:paraId="23ABBF71">
      <w:pPr>
        <w:ind w:firstLine="560"/>
        <w:rPr>
          <w:rFonts w:hint="eastAsia"/>
        </w:rPr>
      </w:pPr>
    </w:p>
    <w:p w14:paraId="5886393B">
      <w:pPr>
        <w:ind w:firstLine="560"/>
        <w:rPr>
          <w:rFonts w:hint="eastAsia"/>
        </w:rPr>
      </w:pPr>
    </w:p>
    <w:p w14:paraId="4B6E54D3">
      <w:pPr>
        <w:ind w:firstLine="560"/>
        <w:rPr>
          <w:rFonts w:hint="eastAsia"/>
        </w:rPr>
      </w:pPr>
    </w:p>
    <w:p w14:paraId="320CEA6A">
      <w:pPr>
        <w:ind w:firstLine="560"/>
        <w:rPr>
          <w:rFonts w:hint="eastAsia"/>
        </w:rPr>
      </w:pPr>
    </w:p>
    <w:p w14:paraId="23CB28D5">
      <w:pPr>
        <w:jc w:val="center"/>
        <w:rPr>
          <w:rFonts w:hint="eastAsia"/>
          <w:b/>
          <w:bCs/>
          <w:sz w:val="40"/>
          <w:szCs w:val="36"/>
        </w:rPr>
      </w:pPr>
      <w:r>
        <w:rPr>
          <w:b/>
          <w:bCs/>
          <w:sz w:val="40"/>
          <w:szCs w:val="36"/>
        </w:rPr>
        <w:t>202</w:t>
      </w:r>
      <w:r>
        <w:rPr>
          <w:rFonts w:hint="eastAsia"/>
          <w:b/>
          <w:bCs/>
          <w:sz w:val="40"/>
          <w:szCs w:val="36"/>
        </w:rPr>
        <w:t>6</w:t>
      </w:r>
      <w:r>
        <w:rPr>
          <w:b/>
          <w:bCs/>
          <w:sz w:val="40"/>
          <w:szCs w:val="36"/>
        </w:rPr>
        <w:t>年</w:t>
      </w:r>
      <w:r>
        <w:rPr>
          <w:rFonts w:hint="eastAsia"/>
          <w:b/>
          <w:bCs/>
          <w:sz w:val="40"/>
          <w:szCs w:val="36"/>
          <w:lang w:val="en-US" w:eastAsia="zh-CN"/>
        </w:rPr>
        <w:t>9</w:t>
      </w:r>
      <w:r>
        <w:rPr>
          <w:b/>
          <w:bCs/>
          <w:sz w:val="40"/>
          <w:szCs w:val="36"/>
        </w:rPr>
        <w:t>月</w:t>
      </w:r>
      <w:r>
        <w:rPr>
          <w:rFonts w:hint="eastAsia"/>
          <w:b/>
          <w:bCs/>
          <w:sz w:val="40"/>
          <w:szCs w:val="36"/>
          <w:lang w:val="en-US" w:eastAsia="zh-CN"/>
        </w:rPr>
        <w:t>16</w:t>
      </w:r>
      <w:r>
        <w:rPr>
          <w:b/>
          <w:bCs/>
          <w:sz w:val="40"/>
          <w:szCs w:val="36"/>
        </w:rPr>
        <w:t>日</w:t>
      </w:r>
    </w:p>
    <w:p w14:paraId="177EE570">
      <w:pPr>
        <w:pStyle w:val="23"/>
        <w:framePr w:h="584" w:hRule="exact" w:hSpace="181" w:vSpace="181" w:wrap="around" w:vAnchor="page" w:hAnchor="page" w:x="2156" w:y="14697"/>
        <w:spacing w:line="240" w:lineRule="auto"/>
        <w:rPr>
          <w:rFonts w:hint="eastAsia" w:hAnsi="黑体"/>
          <w:sz w:val="28"/>
          <w:szCs w:val="28"/>
        </w:rPr>
      </w:pPr>
      <w:r>
        <w:rPr>
          <w:rFonts w:hint="eastAsia" w:hAnsi="黑体"/>
          <w:w w:val="100"/>
          <w:sz w:val="28"/>
          <w:szCs w:val="28"/>
        </w:rPr>
        <w:t>中国海洋学会发布</w:t>
      </w:r>
    </w:p>
    <w:p w14:paraId="0B7F502F">
      <w:pPr>
        <w:ind w:firstLine="560"/>
        <w:rPr>
          <w:rFonts w:hint="eastAsia"/>
        </w:rPr>
      </w:pPr>
      <w:r>
        <w:rPr>
          <w:rFonts w:hint="eastAsia" w:ascii="宋体" w:hAnsi="宋体"/>
          <w:szCs w:val="28"/>
        </w:rPr>
        <mc:AlternateContent>
          <mc:Choice Requires="wps">
            <w:drawing>
              <wp:anchor distT="0" distB="0" distL="114300" distR="114300" simplePos="0" relativeHeight="251659264" behindDoc="0" locked="0" layoutInCell="1" allowOverlap="1">
                <wp:simplePos x="0" y="0"/>
                <wp:positionH relativeFrom="column">
                  <wp:posOffset>-543560</wp:posOffset>
                </wp:positionH>
                <wp:positionV relativeFrom="paragraph">
                  <wp:posOffset>4450080</wp:posOffset>
                </wp:positionV>
                <wp:extent cx="6252845" cy="6350"/>
                <wp:effectExtent l="0" t="0" r="33655" b="32385"/>
                <wp:wrapNone/>
                <wp:docPr id="1572099537" name="直接连接符 2"/>
                <wp:cNvGraphicFramePr/>
                <a:graphic xmlns:a="http://schemas.openxmlformats.org/drawingml/2006/main">
                  <a:graphicData uri="http://schemas.microsoft.com/office/word/2010/wordprocessingShape">
                    <wps:wsp>
                      <wps:cNvCnPr/>
                      <wps:spPr bwMode="auto">
                        <a:xfrm flipV="1">
                          <a:off x="0" y="0"/>
                          <a:ext cx="6252845" cy="6350"/>
                        </a:xfrm>
                        <a:prstGeom prst="line">
                          <a:avLst/>
                        </a:prstGeom>
                        <a:noFill/>
                        <a:ln w="9525">
                          <a:solidFill>
                            <a:srgbClr val="000000"/>
                          </a:solidFill>
                          <a:round/>
                        </a:ln>
                      </wps:spPr>
                      <wps:bodyPr/>
                    </wps:wsp>
                  </a:graphicData>
                </a:graphic>
              </wp:anchor>
            </w:drawing>
          </mc:Choice>
          <mc:Fallback>
            <w:pict>
              <v:line id="直接连接符 2" o:spid="_x0000_s1026" o:spt="20" style="position:absolute;left:0pt;flip:y;margin-left:-42.8pt;margin-top:350.4pt;height:0.5pt;width:492.35pt;z-index:251659264;mso-width-relative:page;mso-height-relative:page;" filled="f" stroked="t" coordsize="21600,21600" o:gfxdata="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R8EEd2AAAAAsBAAAPAAAA&#10;AAAAAAEAIAAAACIAAABkcnMvZG93bnJldi54bWxQSwECFAAUAAAACACHTuJAkNvMy9wBAACOAwAA&#10;DgAAAAAAAAABACAAAAAnAQAAZHJzL2Uyb0RvYy54bWxQSwUGAAAAAAYABgBZAQAAdQUAAAAA&#10;">
                <v:fill on="f" focussize="0,0"/>
                <v:stroke color="#000000" joinstyle="round"/>
                <v:imagedata o:title=""/>
                <o:lock v:ext="edit" aspectratio="f"/>
              </v:line>
            </w:pict>
          </mc:Fallback>
        </mc:AlternateContent>
      </w:r>
      <w:r>
        <w:rPr>
          <w:rFonts w:hint="eastAsia"/>
        </w:rPr>
        <w:br w:type="page"/>
      </w:r>
    </w:p>
    <w:sdt>
      <w:sdtPr>
        <w:rPr>
          <w:rFonts w:cs="宋体" w:asciiTheme="minorEastAsia" w:hAnsiTheme="minorEastAsia" w:eastAsiaTheme="minorEastAsia"/>
          <w:color w:val="auto"/>
          <w:sz w:val="28"/>
          <w:szCs w:val="24"/>
          <w:lang w:val="zh-CN"/>
        </w:rPr>
        <w:id w:val="2006544742"/>
        <w:docPartObj>
          <w:docPartGallery w:val="Table of Contents"/>
          <w:docPartUnique/>
        </w:docPartObj>
      </w:sdtPr>
      <w:sdtEndPr>
        <w:rPr>
          <w:rFonts w:cs="宋体" w:asciiTheme="minorEastAsia" w:hAnsiTheme="minorEastAsia" w:eastAsiaTheme="minorEastAsia"/>
          <w:b/>
          <w:bCs/>
          <w:color w:val="auto"/>
          <w:sz w:val="21"/>
          <w:szCs w:val="21"/>
          <w:lang w:val="zh-CN"/>
        </w:rPr>
      </w:sdtEndPr>
      <w:sdtContent>
        <w:p w14:paraId="3E93CF4E">
          <w:pPr>
            <w:pStyle w:val="26"/>
            <w:spacing w:line="360" w:lineRule="auto"/>
            <w:ind w:firstLine="560"/>
            <w:jc w:val="center"/>
            <w:rPr>
              <w:sz w:val="24"/>
              <w:szCs w:val="24"/>
            </w:rPr>
          </w:pPr>
          <w:r>
            <w:rPr>
              <w:sz w:val="24"/>
              <w:szCs w:val="24"/>
              <w:lang w:val="zh-CN"/>
            </w:rPr>
            <w:t>目录</w:t>
          </w:r>
        </w:p>
        <w:p w14:paraId="58E64A47">
          <w:pPr>
            <w:pStyle w:val="9"/>
            <w:adjustRightInd w:val="0"/>
            <w:snapToGrid w:val="0"/>
            <w:spacing w:line="300" w:lineRule="auto"/>
            <w:ind w:firstLine="0" w:firstLineChars="0"/>
            <w:rPr>
              <w:rFonts w:asciiTheme="minorHAnsi" w:hAnsiTheme="minorHAnsi" w:cstheme="minorBidi"/>
              <w:kern w:val="2"/>
              <w:sz w:val="22"/>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"_Toc228193456" </w:instrText>
          </w:r>
          <w:r>
            <w:fldChar w:fldCharType="separate"/>
          </w:r>
          <w:r>
            <w:rPr>
              <w:rStyle w:val="14"/>
              <w:rFonts w:hint="eastAsia"/>
            </w:rPr>
            <w:t>一、工作简况</w:t>
          </w:r>
          <w:r>
            <w:rPr>
              <w:rFonts w:hint="eastAsia"/>
            </w:rPr>
            <w:tab/>
          </w:r>
          <w:r>
            <w:rPr>
              <w:rFonts w:hint="eastAsia"/>
            </w:rPr>
            <w:fldChar w:fldCharType="begin"/>
          </w:r>
          <w:r>
            <w:rPr>
              <w:rFonts w:hint="eastAsia"/>
            </w:rPr>
            <w:instrText xml:space="preserve"> </w:instrText>
          </w:r>
          <w:r>
            <w:instrText xml:space="preserve">PAGEREF _Toc228193456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15BC6421">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"_Toc228193457" </w:instrText>
          </w:r>
          <w:r>
            <w:fldChar w:fldCharType="separate"/>
          </w:r>
          <w:r>
            <w:rPr>
              <w:rStyle w:val="14"/>
              <w:rFonts w:hint="eastAsia"/>
            </w:rPr>
            <w:t>（一）任务来源</w:t>
          </w:r>
          <w:r>
            <w:rPr>
              <w:rFonts w:hint="eastAsia"/>
            </w:rPr>
            <w:tab/>
          </w:r>
          <w:r>
            <w:rPr>
              <w:rFonts w:hint="eastAsia"/>
            </w:rPr>
            <w:fldChar w:fldCharType="begin"/>
          </w:r>
          <w:r>
            <w:rPr>
              <w:rFonts w:hint="eastAsia"/>
            </w:rPr>
            <w:instrText xml:space="preserve"> </w:instrText>
          </w:r>
          <w:r>
            <w:instrText xml:space="preserve">PAGEREF _Toc228193457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775A13C3">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"_Toc228193458" </w:instrText>
          </w:r>
          <w:r>
            <w:fldChar w:fldCharType="separate"/>
          </w:r>
          <w:r>
            <w:rPr>
              <w:rStyle w:val="14"/>
              <w:rFonts w:hint="eastAsia"/>
            </w:rPr>
            <w:t>（二）制定背景</w:t>
          </w:r>
          <w:r>
            <w:rPr>
              <w:rFonts w:hint="eastAsia"/>
            </w:rPr>
            <w:tab/>
          </w:r>
          <w:r>
            <w:rPr>
              <w:rFonts w:hint="eastAsia"/>
            </w:rPr>
            <w:fldChar w:fldCharType="begin"/>
          </w:r>
          <w:r>
            <w:rPr>
              <w:rFonts w:hint="eastAsia"/>
            </w:rPr>
            <w:instrText xml:space="preserve"> </w:instrText>
          </w:r>
          <w:r>
            <w:instrText xml:space="preserve">PAGEREF _Toc228193458 \h</w:instrText>
          </w:r>
          <w:r>
            <w:rPr>
              <w:rFonts w:hint="eastAsia"/>
            </w:rPr>
            <w:instrText xml:space="preserve"> </w:instrText>
          </w:r>
          <w:r>
            <w:rPr>
              <w:rFonts w:hint="eastAsia"/>
            </w:rPr>
            <w:fldChar w:fldCharType="separate"/>
          </w:r>
          <w:r>
            <w:rPr>
              <w:rFonts w:hint="eastAsia"/>
            </w:rPr>
            <w:t>1</w:t>
          </w:r>
          <w:r>
            <w:rPr>
              <w:rFonts w:hint="eastAsia"/>
            </w:rPr>
            <w:fldChar w:fldCharType="end"/>
          </w:r>
          <w:r>
            <w:rPr>
              <w:rFonts w:hint="eastAsia"/>
            </w:rPr>
            <w:fldChar w:fldCharType="end"/>
          </w:r>
        </w:p>
        <w:p w14:paraId="55B50E82">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"_Toc228193459" </w:instrText>
          </w:r>
          <w:r>
            <w:fldChar w:fldCharType="separate"/>
          </w:r>
          <w:r>
            <w:rPr>
              <w:rStyle w:val="14"/>
              <w:rFonts w:hint="eastAsia"/>
            </w:rPr>
            <w:t>（三）起草过程</w:t>
          </w:r>
          <w:r>
            <w:rPr>
              <w:rFonts w:hint="eastAsia"/>
            </w:rPr>
            <w:tab/>
          </w:r>
          <w:r>
            <w:rPr>
              <w:rFonts w:hint="eastAsia"/>
            </w:rPr>
            <w:fldChar w:fldCharType="begin"/>
          </w:r>
          <w:r>
            <w:rPr>
              <w:rFonts w:hint="eastAsia"/>
            </w:rPr>
            <w:instrText xml:space="preserve"> </w:instrText>
          </w:r>
          <w:r>
            <w:instrText xml:space="preserve">PAGEREF _Toc228193459 \h</w:instrText>
          </w:r>
          <w:r>
            <w:rPr>
              <w:rFonts w:hint="eastAsia"/>
            </w:rPr>
            <w:instrText xml:space="preserve"> </w:instrText>
          </w:r>
          <w:r>
            <w:rPr>
              <w:rFonts w:hint="eastAsia"/>
            </w:rPr>
            <w:fldChar w:fldCharType="separate"/>
          </w:r>
          <w:r>
            <w:rPr>
              <w:rFonts w:hint="eastAsia"/>
            </w:rPr>
            <w:t>3</w:t>
          </w:r>
          <w:r>
            <w:rPr>
              <w:rFonts w:hint="eastAsia"/>
            </w:rPr>
            <w:fldChar w:fldCharType="end"/>
          </w:r>
          <w:r>
            <w:rPr>
              <w:rFonts w:hint="eastAsia"/>
            </w:rPr>
            <w:fldChar w:fldCharType="end"/>
          </w:r>
        </w:p>
        <w:p w14:paraId="1DFA7602">
          <w:pPr>
            <w:pStyle w:val="9"/>
            <w:adjustRightInd w:val="0"/>
            <w:snapToGrid w:val="0"/>
            <w:spacing w:line="300" w:lineRule="auto"/>
            <w:ind w:firstLine="0" w:firstLineChars="0"/>
            <w:rPr>
              <w:rFonts w:asciiTheme="minorHAnsi" w:hAnsiTheme="minorHAnsi" w:cstheme="minorBidi"/>
              <w:kern w:val="2"/>
              <w:sz w:val="22"/>
              <w14:ligatures w14:val="standardContextual"/>
            </w:rPr>
          </w:pPr>
          <w:r>
            <w:fldChar w:fldCharType="begin"/>
          </w:r>
          <w:r>
            <w:instrText xml:space="preserve"> HYPERLINK \l "_Toc228193460" </w:instrText>
          </w:r>
          <w:r>
            <w:fldChar w:fldCharType="separate"/>
          </w:r>
          <w:r>
            <w:rPr>
              <w:rStyle w:val="14"/>
              <w:rFonts w:hint="eastAsia"/>
            </w:rPr>
            <w:t>二、团体标准编制原则、主要内容及其确定的依据</w:t>
          </w:r>
          <w:r>
            <w:rPr>
              <w:rFonts w:hint="eastAsia"/>
            </w:rPr>
            <w:tab/>
          </w:r>
          <w:r>
            <w:rPr>
              <w:rFonts w:hint="eastAsia"/>
            </w:rPr>
            <w:fldChar w:fldCharType="begin"/>
          </w:r>
          <w:r>
            <w:rPr>
              <w:rFonts w:hint="eastAsia"/>
            </w:rPr>
            <w:instrText xml:space="preserve"> </w:instrText>
          </w:r>
          <w:r>
            <w:instrText xml:space="preserve">PAGEREF _Toc228193460 \h</w:instrText>
          </w:r>
          <w:r>
            <w:rPr>
              <w:rFonts w:hint="eastAsia"/>
            </w:rPr>
            <w:instrText xml:space="preserve"> </w:instrText>
          </w:r>
          <w:r>
            <w:rPr>
              <w:rFonts w:hint="eastAsia"/>
            </w:rPr>
            <w:fldChar w:fldCharType="separate"/>
          </w:r>
          <w:r>
            <w:rPr>
              <w:rFonts w:hint="eastAsia"/>
            </w:rPr>
            <w:t>8</w:t>
          </w:r>
          <w:r>
            <w:rPr>
              <w:rFonts w:hint="eastAsia"/>
            </w:rPr>
            <w:fldChar w:fldCharType="end"/>
          </w:r>
          <w:r>
            <w:rPr>
              <w:rFonts w:hint="eastAsia"/>
            </w:rPr>
            <w:fldChar w:fldCharType="end"/>
          </w:r>
        </w:p>
        <w:p w14:paraId="2C8DE9F8">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"_Toc228193461" </w:instrText>
          </w:r>
          <w:r>
            <w:fldChar w:fldCharType="separate"/>
          </w:r>
          <w:r>
            <w:rPr>
              <w:rStyle w:val="14"/>
              <w:rFonts w:hint="eastAsia"/>
            </w:rPr>
            <w:t>（一）编制原则</w:t>
          </w:r>
          <w:r>
            <w:rPr>
              <w:rFonts w:hint="eastAsia"/>
            </w:rPr>
            <w:tab/>
          </w:r>
          <w:r>
            <w:rPr>
              <w:rFonts w:hint="eastAsia"/>
            </w:rPr>
            <w:fldChar w:fldCharType="begin"/>
          </w:r>
          <w:r>
            <w:rPr>
              <w:rFonts w:hint="eastAsia"/>
            </w:rPr>
            <w:instrText xml:space="preserve"> </w:instrText>
          </w:r>
          <w:r>
            <w:instrText xml:space="preserve">PAGEREF _Toc228193461 \h</w:instrText>
          </w:r>
          <w:r>
            <w:rPr>
              <w:rFonts w:hint="eastAsia"/>
            </w:rPr>
            <w:instrText xml:space="preserve"> </w:instrText>
          </w:r>
          <w:r>
            <w:rPr>
              <w:rFonts w:hint="eastAsia"/>
            </w:rPr>
            <w:fldChar w:fldCharType="separate"/>
          </w:r>
          <w:r>
            <w:rPr>
              <w:rFonts w:hint="eastAsia"/>
            </w:rPr>
            <w:t>8</w:t>
          </w:r>
          <w:r>
            <w:rPr>
              <w:rFonts w:hint="eastAsia"/>
            </w:rPr>
            <w:fldChar w:fldCharType="end"/>
          </w:r>
          <w:r>
            <w:rPr>
              <w:rFonts w:hint="eastAsia"/>
            </w:rPr>
            <w:fldChar w:fldCharType="end"/>
          </w:r>
        </w:p>
        <w:p w14:paraId="5B558E42">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"_Toc228193462" </w:instrText>
          </w:r>
          <w:r>
            <w:fldChar w:fldCharType="separate"/>
          </w:r>
          <w:r>
            <w:rPr>
              <w:rStyle w:val="14"/>
              <w:rFonts w:hint="eastAsia"/>
            </w:rPr>
            <w:t>（二）主要内容及其确定的依据</w:t>
          </w:r>
          <w:r>
            <w:rPr>
              <w:rFonts w:hint="eastAsia"/>
            </w:rPr>
            <w:tab/>
          </w:r>
          <w:r>
            <w:rPr>
              <w:rFonts w:hint="eastAsia"/>
            </w:rPr>
            <w:fldChar w:fldCharType="begin"/>
          </w:r>
          <w:r>
            <w:rPr>
              <w:rFonts w:hint="eastAsia"/>
            </w:rPr>
            <w:instrText xml:space="preserve"> </w:instrText>
          </w:r>
          <w:r>
            <w:instrText xml:space="preserve">PAGEREF _Toc228193462 \h</w:instrText>
          </w:r>
          <w:r>
            <w:rPr>
              <w:rFonts w:hint="eastAsia"/>
            </w:rPr>
            <w:instrText xml:space="preserve"> </w:instrText>
          </w:r>
          <w:r>
            <w:rPr>
              <w:rFonts w:hint="eastAsia"/>
            </w:rPr>
            <w:fldChar w:fldCharType="separate"/>
          </w:r>
          <w:r>
            <w:rPr>
              <w:rFonts w:hint="eastAsia"/>
            </w:rPr>
            <w:t>9</w:t>
          </w:r>
          <w:r>
            <w:rPr>
              <w:rFonts w:hint="eastAsia"/>
            </w:rPr>
            <w:fldChar w:fldCharType="end"/>
          </w:r>
          <w:r>
            <w:rPr>
              <w:rFonts w:hint="eastAsia"/>
            </w:rPr>
            <w:fldChar w:fldCharType="end"/>
          </w:r>
        </w:p>
        <w:p w14:paraId="7C3F5888">
          <w:pPr>
            <w:pStyle w:val="9"/>
            <w:adjustRightInd w:val="0"/>
            <w:snapToGrid w:val="0"/>
            <w:spacing w:line="300" w:lineRule="auto"/>
            <w:ind w:firstLine="0" w:firstLineChars="0"/>
            <w:rPr>
              <w:rFonts w:asciiTheme="minorHAnsi" w:hAnsiTheme="minorHAnsi" w:cstheme="minorBidi"/>
              <w:kern w:val="2"/>
              <w:sz w:val="22"/>
              <w14:ligatures w14:val="standardContextual"/>
            </w:rPr>
          </w:pPr>
          <w:r>
            <w:fldChar w:fldCharType="begin"/>
          </w:r>
          <w:r>
            <w:instrText xml:space="preserve"> HYPERLINK \l "_Toc228193463" </w:instrText>
          </w:r>
          <w:r>
            <w:fldChar w:fldCharType="separate"/>
          </w:r>
          <w:r>
            <w:rPr>
              <w:rStyle w:val="14"/>
              <w:rFonts w:hint="eastAsia"/>
            </w:rPr>
            <w:t>三、试验验证的分析、综述报告，技术经济论证，预期的经济效益、社会效益和生态效益</w:t>
          </w:r>
          <w:r>
            <w:rPr>
              <w:rFonts w:hint="eastAsia"/>
            </w:rPr>
            <w:tab/>
          </w:r>
          <w:r>
            <w:rPr>
              <w:rFonts w:hint="eastAsia"/>
            </w:rPr>
            <w:fldChar w:fldCharType="begin"/>
          </w:r>
          <w:r>
            <w:rPr>
              <w:rFonts w:hint="eastAsia"/>
            </w:rPr>
            <w:instrText xml:space="preserve"> </w:instrText>
          </w:r>
          <w:r>
            <w:instrText xml:space="preserve">PAGEREF _Toc228193463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14:paraId="25346274">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"_Toc228193464" </w:instrText>
          </w:r>
          <w:r>
            <w:fldChar w:fldCharType="separate"/>
          </w:r>
          <w:r>
            <w:rPr>
              <w:rStyle w:val="14"/>
              <w:rFonts w:hint="eastAsia"/>
            </w:rPr>
            <w:t>（一）试验验证的分析、综述报告，技术经济论证</w:t>
          </w:r>
          <w:r>
            <w:rPr>
              <w:rFonts w:hint="eastAsia"/>
            </w:rPr>
            <w:tab/>
          </w:r>
          <w:r>
            <w:rPr>
              <w:rFonts w:hint="eastAsia"/>
            </w:rPr>
            <w:fldChar w:fldCharType="begin"/>
          </w:r>
          <w:r>
            <w:rPr>
              <w:rFonts w:hint="eastAsia"/>
            </w:rPr>
            <w:instrText xml:space="preserve"> </w:instrText>
          </w:r>
          <w:r>
            <w:instrText xml:space="preserve">PAGEREF _Toc228193464 \h</w:instrText>
          </w:r>
          <w:r>
            <w:rPr>
              <w:rFonts w:hint="eastAsia"/>
            </w:rPr>
            <w:instrText xml:space="preserve"> </w:instrText>
          </w:r>
          <w:r>
            <w:rPr>
              <w:rFonts w:hint="eastAsia"/>
            </w:rPr>
            <w:fldChar w:fldCharType="separate"/>
          </w:r>
          <w:r>
            <w:rPr>
              <w:rFonts w:hint="eastAsia"/>
            </w:rPr>
            <w:t>11</w:t>
          </w:r>
          <w:r>
            <w:rPr>
              <w:rFonts w:hint="eastAsia"/>
            </w:rPr>
            <w:fldChar w:fldCharType="end"/>
          </w:r>
          <w:r>
            <w:rPr>
              <w:rFonts w:hint="eastAsia"/>
            </w:rPr>
            <w:fldChar w:fldCharType="end"/>
          </w:r>
        </w:p>
        <w:p w14:paraId="65B1B828">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"_Toc228193465" </w:instrText>
          </w:r>
          <w:r>
            <w:fldChar w:fldCharType="separate"/>
          </w:r>
          <w:r>
            <w:rPr>
              <w:rStyle w:val="14"/>
              <w:rFonts w:hint="eastAsia"/>
            </w:rPr>
            <w:t>（二）预期效益</w:t>
          </w:r>
          <w:r>
            <w:rPr>
              <w:rFonts w:hint="eastAsia"/>
            </w:rPr>
            <w:tab/>
          </w:r>
          <w:r>
            <w:rPr>
              <w:rFonts w:hint="eastAsia"/>
            </w:rPr>
            <w:fldChar w:fldCharType="begin"/>
          </w:r>
          <w:r>
            <w:rPr>
              <w:rFonts w:hint="eastAsia"/>
            </w:rPr>
            <w:instrText xml:space="preserve"> </w:instrText>
          </w:r>
          <w:r>
            <w:instrText xml:space="preserve">PAGEREF _Toc228193465 \h</w:instrText>
          </w:r>
          <w:r>
            <w:rPr>
              <w:rFonts w:hint="eastAsia"/>
            </w:rPr>
            <w:instrText xml:space="preserve"> </w:instrText>
          </w:r>
          <w:r>
            <w:rPr>
              <w:rFonts w:hint="eastAsia"/>
            </w:rPr>
            <w:fldChar w:fldCharType="separate"/>
          </w:r>
          <w:r>
            <w:rPr>
              <w:rFonts w:hint="eastAsia"/>
            </w:rPr>
            <w:t>12</w:t>
          </w:r>
          <w:r>
            <w:rPr>
              <w:rFonts w:hint="eastAsia"/>
            </w:rPr>
            <w:fldChar w:fldCharType="end"/>
          </w:r>
          <w:r>
            <w:rPr>
              <w:rFonts w:hint="eastAsia"/>
            </w:rPr>
            <w:fldChar w:fldCharType="end"/>
          </w:r>
        </w:p>
        <w:p w14:paraId="6DF2C353">
          <w:pPr>
            <w:pStyle w:val="9"/>
            <w:adjustRightInd w:val="0"/>
            <w:snapToGrid w:val="0"/>
            <w:spacing w:line="300" w:lineRule="auto"/>
            <w:ind w:firstLine="0" w:firstLineChars="0"/>
            <w:rPr>
              <w:rFonts w:asciiTheme="minorHAnsi" w:hAnsiTheme="minorHAnsi" w:cstheme="minorBidi"/>
              <w:kern w:val="2"/>
              <w:sz w:val="22"/>
              <w14:ligatures w14:val="standardContextual"/>
            </w:rPr>
          </w:pPr>
          <w:r>
            <w:fldChar w:fldCharType="begin"/>
          </w:r>
          <w:r>
            <w:instrText xml:space="preserve"> HYPERLINK \l "_Toc228193466" </w:instrText>
          </w:r>
          <w:r>
            <w:fldChar w:fldCharType="separate"/>
          </w:r>
          <w:r>
            <w:rPr>
              <w:rStyle w:val="14"/>
              <w:rFonts w:hint="eastAsia"/>
            </w:rPr>
            <w:t>四、与国际、国外同类标准技术内容的对比情况，或者与测试的国外样品、样机有关数据的对比情况；</w:t>
          </w:r>
          <w:r>
            <w:rPr>
              <w:rFonts w:hint="eastAsia"/>
            </w:rPr>
            <w:tab/>
          </w:r>
          <w:r>
            <w:rPr>
              <w:rFonts w:hint="eastAsia"/>
            </w:rPr>
            <w:fldChar w:fldCharType="begin"/>
          </w:r>
          <w:r>
            <w:rPr>
              <w:rFonts w:hint="eastAsia"/>
            </w:rPr>
            <w:instrText xml:space="preserve"> </w:instrText>
          </w:r>
          <w:r>
            <w:instrText xml:space="preserve">PAGEREF _Toc228193466 \h</w:instrText>
          </w:r>
          <w:r>
            <w:rPr>
              <w:rFonts w:hint="eastAsia"/>
            </w:rPr>
            <w:instrText xml:space="preserve"> </w:instrText>
          </w:r>
          <w:r>
            <w:rPr>
              <w:rFonts w:hint="eastAsia"/>
            </w:rPr>
            <w:fldChar w:fldCharType="separate"/>
          </w:r>
          <w:r>
            <w:rPr>
              <w:rFonts w:hint="eastAsia"/>
            </w:rPr>
            <w:t>14</w:t>
          </w:r>
          <w:r>
            <w:rPr>
              <w:rFonts w:hint="eastAsia"/>
            </w:rPr>
            <w:fldChar w:fldCharType="end"/>
          </w:r>
          <w:r>
            <w:rPr>
              <w:rFonts w:hint="eastAsia"/>
            </w:rPr>
            <w:fldChar w:fldCharType="end"/>
          </w:r>
        </w:p>
        <w:p w14:paraId="153C3D78">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"_Toc228193467" </w:instrText>
          </w:r>
          <w:r>
            <w:fldChar w:fldCharType="separate"/>
          </w:r>
          <w:r>
            <w:rPr>
              <w:rStyle w:val="14"/>
              <w:rFonts w:hint="eastAsia"/>
            </w:rPr>
            <w:t>（一） 国际相关技术与项目概况</w:t>
          </w:r>
          <w:r>
            <w:rPr>
              <w:rFonts w:hint="eastAsia"/>
            </w:rPr>
            <w:tab/>
          </w:r>
          <w:r>
            <w:rPr>
              <w:rFonts w:hint="eastAsia"/>
            </w:rPr>
            <w:fldChar w:fldCharType="begin"/>
          </w:r>
          <w:r>
            <w:rPr>
              <w:rFonts w:hint="eastAsia"/>
            </w:rPr>
            <w:instrText xml:space="preserve"> </w:instrText>
          </w:r>
          <w:r>
            <w:instrText xml:space="preserve">PAGEREF _Toc228193467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14:paraId="430ED0E0">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"_Toc228193468" </w:instrText>
          </w:r>
          <w:r>
            <w:fldChar w:fldCharType="separate"/>
          </w:r>
          <w:r>
            <w:rPr>
              <w:rStyle w:val="14"/>
              <w:rFonts w:hint="eastAsia"/>
            </w:rPr>
            <w:t>（二）与国外技术的对比分析</w:t>
          </w:r>
          <w:r>
            <w:rPr>
              <w:rFonts w:hint="eastAsia"/>
            </w:rPr>
            <w:tab/>
          </w:r>
          <w:r>
            <w:rPr>
              <w:rFonts w:hint="eastAsia"/>
            </w:rPr>
            <w:fldChar w:fldCharType="begin"/>
          </w:r>
          <w:r>
            <w:rPr>
              <w:rFonts w:hint="eastAsia"/>
            </w:rPr>
            <w:instrText xml:space="preserve"> </w:instrText>
          </w:r>
          <w:r>
            <w:instrText xml:space="preserve">PAGEREF _Toc228193468 \h</w:instrText>
          </w:r>
          <w:r>
            <w:rPr>
              <w:rFonts w:hint="eastAsia"/>
            </w:rPr>
            <w:instrText xml:space="preserve"> </w:instrText>
          </w:r>
          <w:r>
            <w:rPr>
              <w:rFonts w:hint="eastAsia"/>
            </w:rPr>
            <w:fldChar w:fldCharType="separate"/>
          </w:r>
          <w:r>
            <w:rPr>
              <w:rFonts w:hint="eastAsia"/>
            </w:rPr>
            <w:t>15</w:t>
          </w:r>
          <w:r>
            <w:rPr>
              <w:rFonts w:hint="eastAsia"/>
            </w:rPr>
            <w:fldChar w:fldCharType="end"/>
          </w:r>
          <w:r>
            <w:rPr>
              <w:rFonts w:hint="eastAsia"/>
            </w:rPr>
            <w:fldChar w:fldCharType="end"/>
          </w:r>
        </w:p>
        <w:p w14:paraId="2A7008A1">
          <w:pPr>
            <w:pStyle w:val="9"/>
            <w:adjustRightInd w:val="0"/>
            <w:snapToGrid w:val="0"/>
            <w:spacing w:line="300" w:lineRule="auto"/>
            <w:ind w:firstLine="0" w:firstLineChars="0"/>
            <w:rPr>
              <w:rFonts w:asciiTheme="minorHAnsi" w:hAnsiTheme="minorHAnsi" w:cstheme="minorBidi"/>
              <w:kern w:val="2"/>
              <w:sz w:val="22"/>
              <w14:ligatures w14:val="standardContextual"/>
            </w:rPr>
          </w:pPr>
          <w:r>
            <w:fldChar w:fldCharType="begin"/>
          </w:r>
          <w:r>
            <w:instrText xml:space="preserve"> HYPERLINK \l "_Toc228193469" </w:instrText>
          </w:r>
          <w:r>
            <w:fldChar w:fldCharType="separate"/>
          </w:r>
          <w:r>
            <w:rPr>
              <w:rStyle w:val="14"/>
              <w:rFonts w:hint="eastAsia"/>
            </w:rPr>
            <w:t>五、以国际标准或国外先进标准为基础起草的团体标准，说明是否合规引用或采用</w:t>
          </w:r>
          <w:r>
            <w:rPr>
              <w:rFonts w:hint="eastAsia"/>
            </w:rPr>
            <w:tab/>
          </w:r>
          <w:r>
            <w:rPr>
              <w:rFonts w:hint="eastAsia"/>
            </w:rPr>
            <w:fldChar w:fldCharType="begin"/>
          </w:r>
          <w:r>
            <w:rPr>
              <w:rFonts w:hint="eastAsia"/>
            </w:rPr>
            <w:instrText xml:space="preserve"> </w:instrText>
          </w:r>
          <w:r>
            <w:instrText xml:space="preserve">PAGEREF _Toc228193469 \h</w:instrText>
          </w:r>
          <w:r>
            <w:rPr>
              <w:rFonts w:hint="eastAsia"/>
            </w:rPr>
            <w:instrText xml:space="preserve"> </w:instrText>
          </w:r>
          <w:r>
            <w:rPr>
              <w:rFonts w:hint="eastAsia"/>
            </w:rPr>
            <w:fldChar w:fldCharType="separate"/>
          </w:r>
          <w:r>
            <w:rPr>
              <w:rFonts w:hint="eastAsia"/>
            </w:rPr>
            <w:t>16</w:t>
          </w:r>
          <w:r>
            <w:rPr>
              <w:rFonts w:hint="eastAsia"/>
            </w:rPr>
            <w:fldChar w:fldCharType="end"/>
          </w:r>
          <w:r>
            <w:rPr>
              <w:rFonts w:hint="eastAsia"/>
            </w:rPr>
            <w:fldChar w:fldCharType="end"/>
          </w:r>
        </w:p>
        <w:p w14:paraId="2707C781">
          <w:pPr>
            <w:pStyle w:val="9"/>
            <w:adjustRightInd w:val="0"/>
            <w:snapToGrid w:val="0"/>
            <w:spacing w:line="300" w:lineRule="auto"/>
            <w:ind w:firstLine="0" w:firstLineChars="0"/>
            <w:rPr>
              <w:rFonts w:asciiTheme="minorHAnsi" w:hAnsiTheme="minorHAnsi" w:cstheme="minorBidi"/>
              <w:kern w:val="2"/>
              <w:sz w:val="22"/>
              <w14:ligatures w14:val="standardContextual"/>
            </w:rPr>
          </w:pPr>
          <w:r>
            <w:fldChar w:fldCharType="begin"/>
          </w:r>
          <w:r>
            <w:instrText xml:space="preserve"> HYPERLINK \l "_Toc228193470" </w:instrText>
          </w:r>
          <w:r>
            <w:fldChar w:fldCharType="separate"/>
          </w:r>
          <w:r>
            <w:rPr>
              <w:rStyle w:val="14"/>
              <w:rFonts w:hint="eastAsia"/>
            </w:rPr>
            <w:t>六、与相关法律、行政法规及相关标准的关系</w:t>
          </w:r>
          <w:r>
            <w:rPr>
              <w:rFonts w:hint="eastAsia"/>
            </w:rPr>
            <w:tab/>
          </w:r>
          <w:r>
            <w:rPr>
              <w:rFonts w:hint="eastAsia"/>
            </w:rPr>
            <w:fldChar w:fldCharType="begin"/>
          </w:r>
          <w:r>
            <w:rPr>
              <w:rFonts w:hint="eastAsia"/>
            </w:rPr>
            <w:instrText xml:space="preserve"> </w:instrText>
          </w:r>
          <w:r>
            <w:instrText xml:space="preserve">PAGEREF _Toc228193470 \h</w:instrText>
          </w:r>
          <w:r>
            <w:rPr>
              <w:rFonts w:hint="eastAsia"/>
            </w:rPr>
            <w:instrText xml:space="preserve"> </w:instrText>
          </w:r>
          <w:r>
            <w:rPr>
              <w:rFonts w:hint="eastAsia"/>
            </w:rPr>
            <w:fldChar w:fldCharType="separate"/>
          </w:r>
          <w:r>
            <w:rPr>
              <w:rFonts w:hint="eastAsia"/>
            </w:rPr>
            <w:t>17</w:t>
          </w:r>
          <w:r>
            <w:rPr>
              <w:rFonts w:hint="eastAsia"/>
            </w:rPr>
            <w:fldChar w:fldCharType="end"/>
          </w:r>
          <w:r>
            <w:rPr>
              <w:rFonts w:hint="eastAsia"/>
            </w:rPr>
            <w:fldChar w:fldCharType="end"/>
          </w:r>
        </w:p>
        <w:p w14:paraId="707D707C">
          <w:pPr>
            <w:pStyle w:val="9"/>
            <w:adjustRightInd w:val="0"/>
            <w:snapToGrid w:val="0"/>
            <w:spacing w:line="300" w:lineRule="auto"/>
            <w:ind w:firstLine="0" w:firstLineChars="0"/>
            <w:rPr>
              <w:rFonts w:asciiTheme="minorHAnsi" w:hAnsiTheme="minorHAnsi" w:cstheme="minorBidi"/>
              <w:kern w:val="2"/>
              <w:sz w:val="22"/>
              <w14:ligatures w14:val="standardContextual"/>
            </w:rPr>
          </w:pPr>
          <w:r>
            <w:fldChar w:fldCharType="begin"/>
          </w:r>
          <w:r>
            <w:instrText xml:space="preserve"> HYPERLINK \l "_Toc228193471" </w:instrText>
          </w:r>
          <w:r>
            <w:fldChar w:fldCharType="separate"/>
          </w:r>
          <w:r>
            <w:rPr>
              <w:rStyle w:val="14"/>
              <w:rFonts w:hint="eastAsia"/>
            </w:rPr>
            <w:t>七、重大分歧意见的处理经过和依据</w:t>
          </w:r>
          <w:r>
            <w:rPr>
              <w:rFonts w:hint="eastAsia"/>
            </w:rPr>
            <w:tab/>
          </w:r>
          <w:r>
            <w:rPr>
              <w:rFonts w:hint="eastAsia"/>
            </w:rPr>
            <w:fldChar w:fldCharType="begin"/>
          </w:r>
          <w:r>
            <w:rPr>
              <w:rFonts w:hint="eastAsia"/>
            </w:rPr>
            <w:instrText xml:space="preserve"> </w:instrText>
          </w:r>
          <w:r>
            <w:instrText xml:space="preserve">PAGEREF _Toc228193471 \h</w:instrText>
          </w:r>
          <w:r>
            <w:rPr>
              <w:rFonts w:hint="eastAsia"/>
            </w:rPr>
            <w:instrText xml:space="preserve"> </w:instrText>
          </w:r>
          <w:r>
            <w:rPr>
              <w:rFonts w:hint="eastAsia"/>
            </w:rPr>
            <w:fldChar w:fldCharType="separate"/>
          </w:r>
          <w:r>
            <w:rPr>
              <w:rFonts w:hint="eastAsia"/>
            </w:rPr>
            <w:t>18</w:t>
          </w:r>
          <w:r>
            <w:rPr>
              <w:rFonts w:hint="eastAsia"/>
            </w:rPr>
            <w:fldChar w:fldCharType="end"/>
          </w:r>
          <w:r>
            <w:rPr>
              <w:rFonts w:hint="eastAsia"/>
            </w:rPr>
            <w:fldChar w:fldCharType="end"/>
          </w:r>
        </w:p>
        <w:p w14:paraId="17512FF9">
          <w:pPr>
            <w:pStyle w:val="9"/>
            <w:adjustRightInd w:val="0"/>
            <w:snapToGrid w:val="0"/>
            <w:spacing w:line="300" w:lineRule="auto"/>
            <w:ind w:firstLine="0" w:firstLineChars="0"/>
            <w:rPr>
              <w:rFonts w:asciiTheme="minorHAnsi" w:hAnsiTheme="minorHAnsi" w:cstheme="minorBidi"/>
              <w:kern w:val="2"/>
              <w:sz w:val="22"/>
              <w14:ligatures w14:val="standardContextual"/>
            </w:rPr>
          </w:pPr>
          <w:r>
            <w:fldChar w:fldCharType="begin"/>
          </w:r>
          <w:r>
            <w:instrText xml:space="preserve"> HYPERLINK \l "_Toc228193472" </w:instrText>
          </w:r>
          <w:r>
            <w:fldChar w:fldCharType="separate"/>
          </w:r>
          <w:r>
            <w:rPr>
              <w:rStyle w:val="14"/>
              <w:rFonts w:hint="eastAsia"/>
            </w:rPr>
            <w:t>八、涉及专利的有关说明</w:t>
          </w:r>
          <w:r>
            <w:rPr>
              <w:rFonts w:hint="eastAsia"/>
            </w:rPr>
            <w:tab/>
          </w:r>
          <w:r>
            <w:rPr>
              <w:rFonts w:hint="eastAsia"/>
            </w:rPr>
            <w:fldChar w:fldCharType="begin"/>
          </w:r>
          <w:r>
            <w:rPr>
              <w:rFonts w:hint="eastAsia"/>
            </w:rPr>
            <w:instrText xml:space="preserve"> </w:instrText>
          </w:r>
          <w:r>
            <w:instrText xml:space="preserve">PAGEREF _Toc228193472 \h</w:instrText>
          </w:r>
          <w:r>
            <w:rPr>
              <w:rFonts w:hint="eastAsia"/>
            </w:rPr>
            <w:instrText xml:space="preserve"> </w:instrText>
          </w:r>
          <w:r>
            <w:rPr>
              <w:rFonts w:hint="eastAsia"/>
            </w:rPr>
            <w:fldChar w:fldCharType="separate"/>
          </w:r>
          <w:r>
            <w:rPr>
              <w:rFonts w:hint="eastAsia"/>
            </w:rPr>
            <w:t>18</w:t>
          </w:r>
          <w:r>
            <w:rPr>
              <w:rFonts w:hint="eastAsia"/>
            </w:rPr>
            <w:fldChar w:fldCharType="end"/>
          </w:r>
          <w:r>
            <w:rPr>
              <w:rFonts w:hint="eastAsia"/>
            </w:rPr>
            <w:fldChar w:fldCharType="end"/>
          </w:r>
        </w:p>
        <w:p w14:paraId="20AA1EBA">
          <w:pPr>
            <w:pStyle w:val="9"/>
            <w:adjustRightInd w:val="0"/>
            <w:snapToGrid w:val="0"/>
            <w:spacing w:line="300" w:lineRule="auto"/>
            <w:ind w:firstLine="0" w:firstLineChars="0"/>
            <w:rPr>
              <w:rFonts w:asciiTheme="minorHAnsi" w:hAnsiTheme="minorHAnsi" w:cstheme="minorBidi"/>
              <w:kern w:val="2"/>
              <w:sz w:val="22"/>
              <w14:ligatures w14:val="standardContextual"/>
            </w:rPr>
          </w:pPr>
          <w:r>
            <w:fldChar w:fldCharType="begin"/>
          </w:r>
          <w:r>
            <w:instrText xml:space="preserve"> HYPERLINK \l "_Toc228193473" </w:instrText>
          </w:r>
          <w:r>
            <w:fldChar w:fldCharType="separate"/>
          </w:r>
          <w:r>
            <w:rPr>
              <w:rStyle w:val="14"/>
              <w:rFonts w:hint="eastAsia"/>
            </w:rPr>
            <w:t>九、实施团体标准的要求和措施建议（包括组织措施、技术措施、过渡办法等内容）</w:t>
          </w:r>
          <w:r>
            <w:rPr>
              <w:rFonts w:hint="eastAsia"/>
            </w:rPr>
            <w:tab/>
          </w:r>
          <w:r>
            <w:rPr>
              <w:rFonts w:hint="eastAsia"/>
            </w:rPr>
            <w:fldChar w:fldCharType="begin"/>
          </w:r>
          <w:r>
            <w:rPr>
              <w:rFonts w:hint="eastAsia"/>
            </w:rPr>
            <w:instrText xml:space="preserve"> </w:instrText>
          </w:r>
          <w:r>
            <w:instrText xml:space="preserve">PAGEREF _Toc228193473 \h</w:instrText>
          </w:r>
          <w:r>
            <w:rPr>
              <w:rFonts w:hint="eastAsia"/>
            </w:rPr>
            <w:instrText xml:space="preserve"> </w:instrText>
          </w:r>
          <w:r>
            <w:rPr>
              <w:rFonts w:hint="eastAsia"/>
            </w:rPr>
            <w:fldChar w:fldCharType="separate"/>
          </w:r>
          <w:r>
            <w:rPr>
              <w:rFonts w:hint="eastAsia"/>
            </w:rPr>
            <w:t>20</w:t>
          </w:r>
          <w:r>
            <w:rPr>
              <w:rFonts w:hint="eastAsia"/>
            </w:rPr>
            <w:fldChar w:fldCharType="end"/>
          </w:r>
          <w:r>
            <w:rPr>
              <w:rFonts w:hint="eastAsia"/>
            </w:rPr>
            <w:fldChar w:fldCharType="end"/>
          </w:r>
        </w:p>
        <w:p w14:paraId="3969930C">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"_Toc228193474" </w:instrText>
          </w:r>
          <w:r>
            <w:fldChar w:fldCharType="separate"/>
          </w:r>
          <w:r>
            <w:rPr>
              <w:rStyle w:val="14"/>
              <w:rFonts w:hint="eastAsia"/>
            </w:rPr>
            <w:t>（一）组织措施：</w:t>
          </w:r>
          <w:r>
            <w:rPr>
              <w:rFonts w:hint="eastAsia"/>
            </w:rPr>
            <w:tab/>
          </w:r>
          <w:r>
            <w:rPr>
              <w:rFonts w:hint="eastAsia"/>
            </w:rPr>
            <w:fldChar w:fldCharType="begin"/>
          </w:r>
          <w:r>
            <w:rPr>
              <w:rFonts w:hint="eastAsia"/>
            </w:rPr>
            <w:instrText xml:space="preserve"> </w:instrText>
          </w:r>
          <w:r>
            <w:instrText xml:space="preserve">PAGEREF _Toc228193474 \h</w:instrText>
          </w:r>
          <w:r>
            <w:rPr>
              <w:rFonts w:hint="eastAsia"/>
            </w:rPr>
            <w:instrText xml:space="preserve"> </w:instrText>
          </w:r>
          <w:r>
            <w:rPr>
              <w:rFonts w:hint="eastAsia"/>
            </w:rPr>
            <w:fldChar w:fldCharType="separate"/>
          </w:r>
          <w:r>
            <w:rPr>
              <w:rFonts w:hint="eastAsia"/>
            </w:rPr>
            <w:t>20</w:t>
          </w:r>
          <w:r>
            <w:rPr>
              <w:rFonts w:hint="eastAsia"/>
            </w:rPr>
            <w:fldChar w:fldCharType="end"/>
          </w:r>
          <w:r>
            <w:rPr>
              <w:rFonts w:hint="eastAsia"/>
            </w:rPr>
            <w:fldChar w:fldCharType="end"/>
          </w:r>
        </w:p>
        <w:p w14:paraId="223B0628">
          <w:pPr>
            <w:pStyle w:val="10"/>
            <w:tabs>
              <w:tab w:val="right" w:leader="dot" w:pos="8296"/>
            </w:tabs>
            <w:adjustRightInd w:val="0"/>
            <w:snapToGrid w:val="0"/>
            <w:ind w:left="560" w:firstLine="0" w:firstLineChars="0"/>
            <w:rPr>
              <w:rFonts w:asciiTheme="minorHAnsi" w:hAnsiTheme="minorHAnsi" w:cstheme="minorBidi"/>
              <w:kern w:val="2"/>
              <w:sz w:val="22"/>
              <w14:ligatures w14:val="standardContextual"/>
            </w:rPr>
          </w:pPr>
          <w:r>
            <w:fldChar w:fldCharType="begin"/>
          </w:r>
          <w:r>
            <w:instrText xml:space="preserve"> HYPERLINK \l "_Toc228193475" </w:instrText>
          </w:r>
          <w:r>
            <w:fldChar w:fldCharType="separate"/>
          </w:r>
          <w:r>
            <w:rPr>
              <w:rStyle w:val="14"/>
              <w:rFonts w:hint="eastAsia"/>
            </w:rPr>
            <w:t>（二）技术措施：</w:t>
          </w:r>
          <w:r>
            <w:rPr>
              <w:rFonts w:hint="eastAsia"/>
            </w:rPr>
            <w:tab/>
          </w:r>
          <w:r>
            <w:rPr>
              <w:rFonts w:hint="eastAsia"/>
            </w:rPr>
            <w:fldChar w:fldCharType="begin"/>
          </w:r>
          <w:r>
            <w:rPr>
              <w:rFonts w:hint="eastAsia"/>
            </w:rPr>
            <w:instrText xml:space="preserve"> </w:instrText>
          </w:r>
          <w:r>
            <w:instrText xml:space="preserve">PAGEREF _Toc228193475 \h</w:instrText>
          </w:r>
          <w:r>
            <w:rPr>
              <w:rFonts w:hint="eastAsia"/>
            </w:rPr>
            <w:instrText xml:space="preserve"> </w:instrText>
          </w:r>
          <w:r>
            <w:rPr>
              <w:rFonts w:hint="eastAsia"/>
            </w:rPr>
            <w:fldChar w:fldCharType="separate"/>
          </w:r>
          <w:r>
            <w:rPr>
              <w:rFonts w:hint="eastAsia"/>
            </w:rPr>
            <w:t>20</w:t>
          </w:r>
          <w:r>
            <w:rPr>
              <w:rFonts w:hint="eastAsia"/>
            </w:rPr>
            <w:fldChar w:fldCharType="end"/>
          </w:r>
          <w:r>
            <w:rPr>
              <w:rFonts w:hint="eastAsia"/>
            </w:rPr>
            <w:fldChar w:fldCharType="end"/>
          </w:r>
        </w:p>
        <w:p w14:paraId="4D67FB5B">
          <w:pPr>
            <w:pStyle w:val="9"/>
            <w:adjustRightInd w:val="0"/>
            <w:snapToGrid w:val="0"/>
            <w:spacing w:line="300" w:lineRule="auto"/>
            <w:ind w:firstLine="0" w:firstLineChars="0"/>
            <w:rPr>
              <w:rFonts w:asciiTheme="minorHAnsi" w:hAnsiTheme="minorHAnsi" w:cstheme="minorBidi"/>
              <w:kern w:val="2"/>
              <w:sz w:val="22"/>
              <w14:ligatures w14:val="standardContextual"/>
            </w:rPr>
          </w:pPr>
          <w:r>
            <w:fldChar w:fldCharType="begin"/>
          </w:r>
          <w:r>
            <w:instrText xml:space="preserve"> HYPERLINK \l "_Toc228193476" </w:instrText>
          </w:r>
          <w:r>
            <w:fldChar w:fldCharType="separate"/>
          </w:r>
          <w:r>
            <w:rPr>
              <w:rStyle w:val="14"/>
              <w:rFonts w:hint="eastAsia"/>
            </w:rPr>
            <w:t>十、其它应当说明的事项</w:t>
          </w:r>
          <w:r>
            <w:rPr>
              <w:rFonts w:hint="eastAsia"/>
            </w:rPr>
            <w:tab/>
          </w:r>
          <w:r>
            <w:rPr>
              <w:rFonts w:hint="eastAsia"/>
            </w:rPr>
            <w:fldChar w:fldCharType="begin"/>
          </w:r>
          <w:r>
            <w:rPr>
              <w:rFonts w:hint="eastAsia"/>
            </w:rPr>
            <w:instrText xml:space="preserve"> </w:instrText>
          </w:r>
          <w:r>
            <w:instrText xml:space="preserve">PAGEREF _Toc228193476 \h</w:instrText>
          </w:r>
          <w:r>
            <w:rPr>
              <w:rFonts w:hint="eastAsia"/>
            </w:rPr>
            <w:instrText xml:space="preserve"> </w:instrText>
          </w:r>
          <w:r>
            <w:rPr>
              <w:rFonts w:hint="eastAsia"/>
            </w:rPr>
            <w:fldChar w:fldCharType="separate"/>
          </w:r>
          <w:r>
            <w:rPr>
              <w:rFonts w:hint="eastAsia"/>
            </w:rPr>
            <w:t>21</w:t>
          </w:r>
          <w:r>
            <w:rPr>
              <w:rFonts w:hint="eastAsia"/>
            </w:rPr>
            <w:fldChar w:fldCharType="end"/>
          </w:r>
          <w:r>
            <w:rPr>
              <w:rFonts w:hint="eastAsia"/>
            </w:rPr>
            <w:fldChar w:fldCharType="end"/>
          </w:r>
        </w:p>
        <w:p w14:paraId="4784B336">
          <w:pPr>
            <w:adjustRightInd w:val="0"/>
            <w:snapToGrid w:val="0"/>
            <w:ind w:firstLine="0" w:firstLineChars="0"/>
            <w:rPr>
              <w:rFonts w:hint="eastAsia"/>
              <w:sz w:val="21"/>
              <w:szCs w:val="21"/>
            </w:rPr>
          </w:pPr>
          <w:r>
            <w:rPr>
              <w:b/>
              <w:bCs/>
              <w:sz w:val="24"/>
              <w:lang w:val="zh-CN"/>
            </w:rPr>
            <w:fldChar w:fldCharType="end"/>
          </w:r>
        </w:p>
      </w:sdtContent>
    </w:sdt>
    <w:p w14:paraId="166E4EFF">
      <w:pPr>
        <w:ind w:firstLine="0" w:firstLineChars="0"/>
        <w:rPr>
          <w:rFonts w:hint="eastAsia"/>
        </w:rPr>
      </w:pPr>
    </w:p>
    <w:p w14:paraId="1F4EDC49">
      <w:pPr>
        <w:ind w:firstLine="560"/>
        <w:rPr>
          <w:rFonts w:hint="eastAsia"/>
        </w:rPr>
      </w:pPr>
    </w:p>
    <w:p w14:paraId="70F5DBBA">
      <w:pPr>
        <w:ind w:firstLine="560"/>
        <w:rPr>
          <w:rFonts w:hint="eastAsia"/>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703CE1D6">
      <w:pPr>
        <w:pStyle w:val="2"/>
        <w:rPr>
          <w:rFonts w:hint="eastAsia"/>
        </w:rPr>
      </w:pPr>
      <w:bookmarkStart w:id="1" w:name="_Toc228193456"/>
      <w:r>
        <w:t>一、工作简况</w:t>
      </w:r>
      <w:bookmarkEnd w:id="1"/>
    </w:p>
    <w:p w14:paraId="21CDEA05">
      <w:pPr>
        <w:pStyle w:val="3"/>
      </w:pPr>
      <w:bookmarkStart w:id="2" w:name="_Toc228193457"/>
      <w:r>
        <w:t>（一）任务来源</w:t>
      </w:r>
      <w:bookmarkEnd w:id="2"/>
    </w:p>
    <w:p w14:paraId="55A04784">
      <w:pPr>
        <w:ind w:firstLine="560"/>
        <w:rPr>
          <w:rFonts w:hint="eastAsia"/>
          <w:lang w:val="en-US" w:eastAsia="zh-CN"/>
        </w:rPr>
      </w:pPr>
      <w:r>
        <w:rPr>
          <w:rFonts w:hint="eastAsia"/>
          <w:lang w:val="en-US" w:eastAsia="zh-CN"/>
        </w:rPr>
        <w:t>本标准项目由中国海洋学会提出并归口，中国国家海洋标准计量中心作为主编单位承担起草工作。本标准列入中国海洋学会2026年度团体标准制修订计划。</w:t>
      </w:r>
    </w:p>
    <w:p w14:paraId="448A77FF">
      <w:pPr>
        <w:ind w:firstLine="560"/>
        <w:rPr>
          <w:rFonts w:hint="eastAsia"/>
          <w:lang w:val="en-US" w:eastAsia="zh-CN"/>
        </w:rPr>
      </w:pPr>
      <w:r>
        <w:rPr>
          <w:rFonts w:hint="eastAsia"/>
          <w:lang w:val="en-US" w:eastAsia="zh-CN"/>
        </w:rPr>
        <w:t>海洋底质调查是海洋综合调查的基础性工作之一，其数据质量直接影响海洋科学研究、海洋资源开发评价和海洋管理的决策水平。当前，我国新一轮海洋综合调查即将启动，调查技术手段与新型仪器设备不断投入使用，但海洋底质调查领域尚缺乏统一的质量控制团体标准，亟需制定专门的质量控制规程，以规范各环节质控要求和操作流程，保障调查数据的真实、准确和可比。</w:t>
      </w:r>
    </w:p>
    <w:p w14:paraId="5D16B41A">
      <w:pPr>
        <w:pStyle w:val="3"/>
      </w:pPr>
      <w:bookmarkStart w:id="3" w:name="_Toc228193458"/>
      <w:r>
        <w:t>（二）制定背景</w:t>
      </w:r>
      <w:bookmarkEnd w:id="3"/>
    </w:p>
    <w:p w14:paraId="4FC7C0B1">
      <w:pPr>
        <w:ind w:firstLine="560"/>
        <w:rPr>
          <w:rFonts w:hint="eastAsia"/>
          <w:lang w:val="en-US" w:eastAsia="zh-CN"/>
        </w:rPr>
      </w:pPr>
      <w:bookmarkStart w:id="4" w:name="_Toc228193459"/>
      <w:r>
        <w:rPr>
          <w:rFonts w:hint="eastAsia"/>
          <w:lang w:val="en-US" w:eastAsia="zh-CN"/>
        </w:rPr>
        <w:t>1. 海洋调查事业快速发展，质控标准需求迫切</w:t>
      </w:r>
    </w:p>
    <w:p w14:paraId="0D0ED82F">
      <w:pPr>
        <w:ind w:firstLine="560"/>
        <w:rPr>
          <w:rFonts w:hint="eastAsia"/>
          <w:lang w:val="en-US" w:eastAsia="zh-CN"/>
        </w:rPr>
      </w:pPr>
      <w:r>
        <w:rPr>
          <w:rFonts w:hint="eastAsia"/>
          <w:lang w:val="en-US" w:eastAsia="zh-CN"/>
        </w:rPr>
        <w:t>我国自"十五五"起开启新一轮海洋综合调查，从技术方法的更新、仪器设备的使用到新技术规程的制定均提出了新的要求。专业的海洋调查不仅需要在调查业务中获取数据，还需要将数据转化为应用服务产品。在项目中，底质调查作为基础调查的重要组成，其调查技术规程已由相关单位牵头起草并作为参考文件使用。然而，目前海洋调查总则中虽对质控有原则性要求，但针对每一学科的具体质控要求仍较为欠缺，亟需补充。</w:t>
      </w:r>
    </w:p>
    <w:p w14:paraId="3015C5F1">
      <w:pPr>
        <w:ind w:firstLine="560"/>
        <w:rPr>
          <w:rFonts w:hint="eastAsia"/>
          <w:lang w:val="en-US" w:eastAsia="zh-CN"/>
        </w:rPr>
      </w:pPr>
      <w:r>
        <w:rPr>
          <w:rFonts w:hint="eastAsia"/>
          <w:lang w:val="en-US" w:eastAsia="zh-CN"/>
        </w:rPr>
        <w:t>2. 现有质控标准体系不完善，存在缺口</w:t>
      </w:r>
    </w:p>
    <w:p w14:paraId="30718FDF">
      <w:pPr>
        <w:ind w:firstLine="560"/>
        <w:rPr>
          <w:rFonts w:hint="eastAsia"/>
          <w:lang w:val="en-US" w:eastAsia="zh-CN"/>
        </w:rPr>
      </w:pPr>
      <w:r>
        <w:rPr>
          <w:rFonts w:hint="eastAsia"/>
          <w:lang w:val="en-US" w:eastAsia="zh-CN"/>
        </w:rPr>
        <w:t>目前，海洋底质调查质量控制领域的标准体系较为薄弱。国家标准如GB/T 12763《海洋调查规范》和GB 17378《海洋监测规范》中虽有质控相关内容，但散见于各部分，缺乏系统性和针对性。调查规程中虽有质量控制章节，但内容较为粗糙，通常仅以数行文字概括，未能明确具体的控制点位置和实施方法。编写组按照专业分类启动系列团体标准编制工作，底质调查质量控制规程是其中重要一项，旨在填补该领域团体标准的空白。</w:t>
      </w:r>
    </w:p>
    <w:p w14:paraId="55073D8D">
      <w:pPr>
        <w:ind w:firstLine="560"/>
        <w:rPr>
          <w:rFonts w:hint="eastAsia"/>
          <w:lang w:val="en-US" w:eastAsia="zh-CN"/>
        </w:rPr>
      </w:pPr>
      <w:r>
        <w:rPr>
          <w:rFonts w:hint="eastAsia"/>
          <w:lang w:val="en-US" w:eastAsia="zh-CN"/>
        </w:rPr>
        <w:t>3. 行业发展对质控提出新要求</w:t>
      </w:r>
    </w:p>
    <w:p w14:paraId="637CDC91">
      <w:pPr>
        <w:ind w:firstLine="560"/>
        <w:rPr>
          <w:rFonts w:hint="eastAsia"/>
          <w:lang w:val="en-US" w:eastAsia="zh-CN"/>
        </w:rPr>
      </w:pPr>
      <w:r>
        <w:rPr>
          <w:rFonts w:hint="eastAsia"/>
          <w:lang w:val="en-US" w:eastAsia="zh-CN"/>
        </w:rPr>
        <w:t>随着调查技术手段的更新和新型仪器设备的不断投入使用，调查规范中开始逐步体现新方法的应用。对于质量控制也需相应进行调整和补充。不同调查人员对质量控制过程的理解、重点把握和操作方式存在差异，导致调查成果的可比性和通用性不足。制定统一的质量控制规程，有助于统一质控理念、明确质控要点和方法、规范操作流程，提升数据质量和行业整体管理水平。</w:t>
      </w:r>
    </w:p>
    <w:p w14:paraId="67656C8F">
      <w:pPr>
        <w:ind w:firstLine="560"/>
        <w:rPr>
          <w:rFonts w:hint="eastAsia"/>
          <w:lang w:val="en-US" w:eastAsia="zh-CN"/>
        </w:rPr>
      </w:pPr>
      <w:r>
        <w:rPr>
          <w:rFonts w:hint="eastAsia"/>
          <w:lang w:val="en-US" w:eastAsia="zh-CN"/>
        </w:rPr>
        <w:t>4. 标准制定的意义</w:t>
      </w:r>
    </w:p>
    <w:p w14:paraId="56F5FB1F">
      <w:pPr>
        <w:ind w:firstLine="560"/>
        <w:rPr>
          <w:rFonts w:hint="eastAsia"/>
          <w:lang w:val="en-US" w:eastAsia="zh-CN"/>
        </w:rPr>
      </w:pPr>
      <w:r>
        <w:rPr>
          <w:rFonts w:hint="eastAsia"/>
          <w:lang w:val="en-US" w:eastAsia="zh-CN"/>
        </w:rPr>
        <w:t>一是规范质控流程，统一海洋底质调查各个环节的质控要求和操作规范，实现调查全过程标准化管理；二是提升数据可靠性，通过系统的质量控制措施确保底质调查数据真实、准确、可比，为海洋科学研究和管理提供可靠的数据支撑；三是完善标准体系，填补海洋底质调查质量控制领域团体标准的空白，完善海洋底质调查质量管理的标准体系，促进行业质量管理水平的提升。</w:t>
      </w:r>
    </w:p>
    <w:p w14:paraId="2BAB3C1E">
      <w:pPr>
        <w:pStyle w:val="3"/>
      </w:pPr>
      <w:r>
        <w:t>（三）起草过程</w:t>
      </w:r>
      <w:bookmarkEnd w:id="4"/>
    </w:p>
    <w:p w14:paraId="7A87C2F8">
      <w:pPr>
        <w:ind w:firstLine="560"/>
        <w:rPr>
          <w:rFonts w:hint="eastAsia"/>
          <w:lang w:val="en-US" w:eastAsia="zh-CN"/>
        </w:rPr>
      </w:pPr>
      <w:r>
        <w:rPr>
          <w:rFonts w:hint="eastAsia"/>
          <w:lang w:val="en-US" w:eastAsia="zh-CN"/>
        </w:rPr>
        <w:t>为保证本标准的制定质量，确保标准内容切实可行、实施后能为海洋底质调查质量控制提供具体指导，标准起草组结合实际情况，经过综合分析、多次讨论研究和反复修改，起草编制完成《海洋底质调查质量控制规程》标准草案。主要开展工作情况如下：</w:t>
      </w:r>
    </w:p>
    <w:p w14:paraId="32BEF1E5">
      <w:pPr>
        <w:ind w:firstLine="560"/>
        <w:rPr>
          <w:rFonts w:hint="eastAsia"/>
          <w:lang w:val="en-US" w:eastAsia="zh-CN"/>
        </w:rPr>
      </w:pPr>
      <w:r>
        <w:rPr>
          <w:rFonts w:hint="eastAsia"/>
          <w:lang w:val="en-US" w:eastAsia="zh-CN"/>
        </w:rPr>
        <w:t>1.成立标准起草小组</w:t>
      </w:r>
    </w:p>
    <w:p w14:paraId="649EF13C">
      <w:pPr>
        <w:ind w:firstLine="560"/>
        <w:rPr>
          <w:rFonts w:hint="eastAsia"/>
          <w:lang w:val="en-US" w:eastAsia="zh-CN"/>
        </w:rPr>
      </w:pPr>
      <w:r>
        <w:rPr>
          <w:rFonts w:hint="eastAsia"/>
          <w:lang w:val="en-US" w:eastAsia="zh-CN"/>
        </w:rPr>
        <w:t>2026年，由国家海洋标准计量中心为主，联合相关优势单位召开标准起草专题工作会议，讨论、研究制定标准的工作方案和工作程序，研究确定本标准所涉及的范围和主要内容。成立项目起草小组，明确小组成员职责分工。起草小组依托国家海洋标准计量中心，结合新一轮海洋综合调查项目底质调查技术规程的编制经验，开展标准编制工作。</w:t>
      </w:r>
    </w:p>
    <w:p w14:paraId="798BC7EF">
      <w:pPr>
        <w:ind w:firstLine="560"/>
        <w:rPr>
          <w:rFonts w:hint="eastAsia"/>
          <w:lang w:val="en-US" w:eastAsia="zh-CN"/>
        </w:rPr>
      </w:pPr>
      <w:r>
        <w:rPr>
          <w:rFonts w:hint="eastAsia"/>
          <w:lang w:val="en-US" w:eastAsia="zh-CN"/>
        </w:rPr>
        <w:t>2.制定工作计划</w:t>
      </w:r>
    </w:p>
    <w:p w14:paraId="4FABB123">
      <w:pPr>
        <w:ind w:firstLine="560"/>
        <w:rPr>
          <w:rFonts w:hint="eastAsia"/>
          <w:lang w:val="en-US" w:eastAsia="zh-CN"/>
        </w:rPr>
      </w:pPr>
      <w:r>
        <w:rPr>
          <w:rFonts w:hint="eastAsia"/>
          <w:lang w:val="en-US" w:eastAsia="zh-CN"/>
        </w:rPr>
        <w:t>项目起草小组制定了起草标准工作计划，对各工作过程与步骤做出安排，要求起草小组在规定时间内按规定进度开展各项工作。计划分6个阶段、历时12个月完成，包括：需求调研与资料收集、标准框架设计、初稿编写与内部研讨、征求意见、专家评审、报批发布。</w:t>
      </w:r>
    </w:p>
    <w:p w14:paraId="264A2DA3">
      <w:pPr>
        <w:ind w:firstLine="560"/>
        <w:rPr>
          <w:rFonts w:hint="eastAsia"/>
          <w:lang w:val="en-US" w:eastAsia="zh-CN"/>
        </w:rPr>
      </w:pPr>
      <w:r>
        <w:rPr>
          <w:rFonts w:hint="eastAsia"/>
          <w:lang w:val="en-US" w:eastAsia="zh-CN"/>
        </w:rPr>
        <w:t>3.座谈研讨</w:t>
      </w:r>
    </w:p>
    <w:p w14:paraId="20047FC4">
      <w:pPr>
        <w:ind w:firstLine="560"/>
        <w:rPr>
          <w:rFonts w:hint="eastAsia"/>
          <w:lang w:val="en-US" w:eastAsia="zh-CN"/>
        </w:rPr>
      </w:pPr>
      <w:r>
        <w:rPr>
          <w:rFonts w:hint="eastAsia"/>
          <w:lang w:val="en-US" w:eastAsia="zh-CN"/>
        </w:rPr>
        <w:t>标准研制工作组在起草过程中，多次召开标准草案研讨会，对标准草案、立项申请书内容进行研讨，对草案和立项分析报告进行完善。在编制过程中，遵循科学性、实用性、协调性、前瞻性的原则，依据GB/T 12763《海洋调查规范》、GB 17378《海洋监测规范》等国家标准的技术要求，结合新的海洋综合调查项目底质调查技术规程及项目底质调查实际工作情况，对标准内容进行调整和完善。</w:t>
      </w:r>
    </w:p>
    <w:p w14:paraId="196E07AA">
      <w:pPr>
        <w:ind w:firstLine="560"/>
        <w:rPr>
          <w:rFonts w:hint="eastAsia"/>
          <w:lang w:val="en-US" w:eastAsia="zh-CN"/>
        </w:rPr>
      </w:pPr>
      <w:r>
        <w:rPr>
          <w:rFonts w:hint="eastAsia"/>
          <w:lang w:val="en-US" w:eastAsia="zh-CN"/>
        </w:rPr>
        <w:t>4.召开立项审查会</w:t>
      </w:r>
    </w:p>
    <w:p w14:paraId="35DE72D8">
      <w:pPr>
        <w:ind w:firstLine="560"/>
        <w:rPr>
          <w:rFonts w:hint="eastAsia"/>
          <w:lang w:val="en-US" w:eastAsia="zh-CN"/>
        </w:rPr>
      </w:pPr>
      <w:r>
        <w:rPr>
          <w:rFonts w:hint="eastAsia"/>
          <w:lang w:val="en-US" w:eastAsia="zh-CN"/>
        </w:rPr>
        <w:t>2026年9月14日，中国海洋学会海洋标准化分会以线上方式召开了《海洋底质调查质量控制规程》团体标准立项审查会。会议由中国海洋学会海洋标准化分会主持，推选自然资源部第一海洋研究所刘升发研究员为专家组组长。出席审查会的评审专家共6名，分别为自然资源部第一海洋研究所刘升发研究员、自然资源部第二海洋研究所吴招才研究员、自然资源部第三海洋研究所王爱军研究员、国家海洋技术中心宋雨泽高级工程师、自然资源部北海发展研究中心李明君高级工程师、自然资源部天津海洋中心崔健高级工程师。编写组代表国家海洋标准计量中心程绍华汇报申报情况。</w:t>
      </w:r>
    </w:p>
    <w:p w14:paraId="28C923EF">
      <w:pPr>
        <w:ind w:firstLine="560"/>
        <w:rPr>
          <w:rFonts w:hint="eastAsia"/>
          <w:lang w:val="en-US" w:eastAsia="zh-CN"/>
        </w:rPr>
      </w:pPr>
      <w:r>
        <w:rPr>
          <w:rFonts w:hint="eastAsia"/>
          <w:lang w:val="en-US" w:eastAsia="zh-CN"/>
        </w:rPr>
        <w:t>编写组从项目背景和必要性、标准制定的目的和意义、适用范围和领域、主要技术内容、技术路线和进度安排、预期成果和效益等六个方面进行了汇报。专家组一致认为该标准的制定十分必要且迫切，草案框架基本合理，技术路线清晰，进度安排基本可行，将质量控制内容从调查规范中独立成标准具有创新性，一致同意通过立项审查。同时，专家组从标准衔接与引用体系、框架结构与全流程覆盖、外业调查质控、实验室分析质控、数据与成果质控、前言引言与适用范围、技术要求细化与一致性、标准名称与定位、进度安排等方面提出了具体修改意见，具体如下：</w:t>
      </w:r>
    </w:p>
    <w:p w14:paraId="6836F3F2">
      <w:pPr>
        <w:ind w:firstLine="560"/>
        <w:rPr>
          <w:rFonts w:hint="eastAsia"/>
          <w:lang w:val="en-US" w:eastAsia="zh-CN"/>
        </w:rPr>
      </w:pPr>
      <w:r>
        <w:rPr>
          <w:rFonts w:hint="eastAsia"/>
          <w:lang w:val="en-US" w:eastAsia="zh-CN"/>
        </w:rPr>
        <w:t>（1）关于标准名称与定位</w:t>
      </w:r>
    </w:p>
    <w:p w14:paraId="59D1A607">
      <w:pPr>
        <w:ind w:firstLine="560"/>
        <w:rPr>
          <w:rFonts w:hint="eastAsia"/>
          <w:lang w:val="en-US" w:eastAsia="zh-CN"/>
        </w:rPr>
      </w:pPr>
      <w:r>
        <w:rPr>
          <w:rFonts w:hint="eastAsia"/>
          <w:lang w:val="en-US" w:eastAsia="zh-CN"/>
        </w:rPr>
        <w:t>关于标准名称"规程"与"规范"的定位存在不同意见。部分意见认为"规范"定位偏高，需标准成熟后方可使用，当前阶段以"规程"更为稳妥；亦有意见建议先按较高定位开展工作，后续视技术成熟度再行调整。经讨论，会议决定标准名称暂不确定，留待后续召开系列团体标准研讨会统一讨论确定。</w:t>
      </w:r>
    </w:p>
    <w:p w14:paraId="3F7B86FA">
      <w:pPr>
        <w:ind w:firstLine="560"/>
        <w:rPr>
          <w:rFonts w:hint="eastAsia"/>
          <w:lang w:val="en-US" w:eastAsia="zh-CN"/>
        </w:rPr>
      </w:pPr>
      <w:r>
        <w:rPr>
          <w:rFonts w:hint="eastAsia"/>
          <w:lang w:val="en-US" w:eastAsia="zh-CN"/>
        </w:rPr>
        <w:t>（2）关于标准衔接与引用体系</w:t>
      </w:r>
    </w:p>
    <w:p w14:paraId="0B3B0A94">
      <w:pPr>
        <w:ind w:firstLine="560"/>
        <w:rPr>
          <w:rFonts w:hint="eastAsia"/>
          <w:lang w:val="en-US" w:eastAsia="zh-CN"/>
        </w:rPr>
      </w:pPr>
      <w:r>
        <w:rPr>
          <w:rFonts w:hint="eastAsia"/>
          <w:lang w:val="en-US" w:eastAsia="zh-CN"/>
        </w:rPr>
        <w:t>建议明确本标准与新一轮海洋综合调查项目已有调查规程的区别与衔接关系，突出质控标准的互补性和相辅相成作用，规程中已有的内容可在标准中适当弱化，避免重复。草案引用文件建议统一引用表述，区分项目引用与国标引用。此外，建议将此前已发布的相关团体标准纳入引用文件，完善标准引用体系。</w:t>
      </w:r>
    </w:p>
    <w:p w14:paraId="53357F67">
      <w:pPr>
        <w:ind w:firstLine="560"/>
        <w:rPr>
          <w:rFonts w:hint="eastAsia"/>
          <w:lang w:val="en-US" w:eastAsia="zh-CN"/>
        </w:rPr>
      </w:pPr>
      <w:r>
        <w:rPr>
          <w:rFonts w:hint="eastAsia"/>
          <w:lang w:val="en-US" w:eastAsia="zh-CN"/>
        </w:rPr>
        <w:t>（3）关于框架结构与全流程覆盖</w:t>
      </w:r>
    </w:p>
    <w:p w14:paraId="17888A0C">
      <w:pPr>
        <w:ind w:firstLine="560"/>
        <w:rPr>
          <w:rFonts w:hint="eastAsia"/>
          <w:lang w:val="en-US" w:eastAsia="zh-CN"/>
        </w:rPr>
      </w:pPr>
      <w:r>
        <w:rPr>
          <w:rFonts w:hint="eastAsia"/>
          <w:lang w:val="en-US" w:eastAsia="zh-CN"/>
        </w:rPr>
        <w:t>草案结构中"总体质量控制要求"之后直接进入"外业调查质控"，中间缺少质量策划环节。建议补充前期质量策划内容（含质量计划制定等），形成"质量策划→外业调查→样品分析→成果验收"完整链条，体现全过程质量控制特色。建议结合项目调查，从设计阶段到成果集成全流程覆盖质控要求，与国标和项目标准对照确保内容覆盖全面（含悬浮体、实验室测试指标等），体现数据可比较性和通用性。建议将报告编写相关质量控制内容纳入标准，结合现有报告相关标准和规定。</w:t>
      </w:r>
    </w:p>
    <w:p w14:paraId="30343687">
      <w:pPr>
        <w:ind w:firstLine="560"/>
        <w:rPr>
          <w:rFonts w:hint="eastAsia"/>
          <w:lang w:val="en-US" w:eastAsia="zh-CN"/>
        </w:rPr>
      </w:pPr>
      <w:r>
        <w:rPr>
          <w:rFonts w:hint="eastAsia"/>
          <w:lang w:val="en-US" w:eastAsia="zh-CN"/>
        </w:rPr>
        <w:t>（4）关于外业调查质控</w:t>
      </w:r>
    </w:p>
    <w:p w14:paraId="3F151953">
      <w:pPr>
        <w:ind w:firstLine="560"/>
        <w:rPr>
          <w:rFonts w:hint="eastAsia"/>
          <w:lang w:val="en-US" w:eastAsia="zh-CN"/>
        </w:rPr>
      </w:pPr>
      <w:r>
        <w:rPr>
          <w:rFonts w:hint="eastAsia"/>
          <w:lang w:val="en-US" w:eastAsia="zh-CN"/>
        </w:rPr>
        <w:t>外业调查质控部分目前仅覆盖采样与保存，建议增加现场测试环节的质量控制内容。底质调查中包含悬浮体调查内容，但草案中未涉及，建议明确是否纳入本标准或单独编制。</w:t>
      </w:r>
    </w:p>
    <w:p w14:paraId="636DB685">
      <w:pPr>
        <w:ind w:firstLine="560"/>
        <w:rPr>
          <w:rFonts w:hint="eastAsia"/>
          <w:lang w:val="en-US" w:eastAsia="zh-CN"/>
        </w:rPr>
      </w:pPr>
      <w:r>
        <w:rPr>
          <w:rFonts w:hint="eastAsia"/>
          <w:lang w:val="en-US" w:eastAsia="zh-CN"/>
        </w:rPr>
        <w:t>（5）关于实验室分析质控</w:t>
      </w:r>
    </w:p>
    <w:p w14:paraId="27E9D43A">
      <w:pPr>
        <w:ind w:firstLine="560"/>
        <w:rPr>
          <w:rFonts w:hint="eastAsia"/>
          <w:lang w:val="en-US" w:eastAsia="zh-CN"/>
        </w:rPr>
      </w:pPr>
      <w:r>
        <w:rPr>
          <w:rFonts w:hint="eastAsia"/>
          <w:lang w:val="en-US" w:eastAsia="zh-CN"/>
        </w:rPr>
        <w:t>实验室分析质控目前仅列出粒度、重金属、有机污染物、物理性质测定4个项目，实际调查分析项目更多，建议每一项分析项目均设置质量控制要求。样品分析阶段缺少实验室环境要求等内容，建议补充必要的缺失章节。</w:t>
      </w:r>
    </w:p>
    <w:p w14:paraId="4ED57F5F">
      <w:pPr>
        <w:ind w:firstLine="560"/>
        <w:rPr>
          <w:rFonts w:hint="eastAsia"/>
          <w:lang w:val="en-US" w:eastAsia="zh-CN"/>
        </w:rPr>
      </w:pPr>
      <w:r>
        <w:rPr>
          <w:rFonts w:hint="eastAsia"/>
          <w:lang w:val="en-US" w:eastAsia="zh-CN"/>
        </w:rPr>
        <w:t>（6）关于数据与成果质控</w:t>
      </w:r>
    </w:p>
    <w:p w14:paraId="3A6061AD">
      <w:pPr>
        <w:ind w:firstLine="560"/>
        <w:rPr>
          <w:rFonts w:hint="eastAsia"/>
          <w:lang w:val="en-US" w:eastAsia="zh-CN"/>
        </w:rPr>
      </w:pPr>
      <w:r>
        <w:rPr>
          <w:rFonts w:hint="eastAsia"/>
          <w:lang w:val="en-US" w:eastAsia="zh-CN"/>
        </w:rPr>
        <w:t>建议增加数据成图、制图方面的质量控制内容。</w:t>
      </w:r>
    </w:p>
    <w:p w14:paraId="64B86C45">
      <w:pPr>
        <w:ind w:firstLine="560"/>
        <w:rPr>
          <w:rFonts w:hint="eastAsia"/>
          <w:lang w:val="en-US" w:eastAsia="zh-CN"/>
        </w:rPr>
      </w:pPr>
      <w:r>
        <w:rPr>
          <w:rFonts w:hint="eastAsia"/>
          <w:lang w:val="en-US" w:eastAsia="zh-CN"/>
        </w:rPr>
        <w:t>（7）关于前言、引言与适用范围</w:t>
      </w:r>
    </w:p>
    <w:p w14:paraId="664B85FF">
      <w:pPr>
        <w:ind w:firstLine="560"/>
        <w:rPr>
          <w:rFonts w:hint="eastAsia"/>
          <w:lang w:val="en-US" w:eastAsia="zh-CN"/>
        </w:rPr>
      </w:pPr>
      <w:r>
        <w:rPr>
          <w:rFonts w:hint="eastAsia"/>
          <w:lang w:val="en-US" w:eastAsia="zh-CN"/>
        </w:rPr>
        <w:t>前言部分需补充中国海洋学会发布的相关表述。引言部分建议补充全流程质控规程的背景、现有标准方法概述及行业痛点分析，增强标准编制背景的完整性。建议在适用范围中增加"适用于近岸、近海、海洋底质调查"等方向性表述，明确适用海域范围。</w:t>
      </w:r>
    </w:p>
    <w:p w14:paraId="49248538">
      <w:pPr>
        <w:ind w:firstLine="560"/>
        <w:rPr>
          <w:rFonts w:hint="eastAsia"/>
          <w:lang w:val="en-US" w:eastAsia="zh-CN"/>
        </w:rPr>
      </w:pPr>
      <w:r>
        <w:rPr>
          <w:rFonts w:hint="eastAsia"/>
          <w:lang w:val="en-US" w:eastAsia="zh-CN"/>
        </w:rPr>
        <w:t>（8）关于技术要求细化与一致性</w:t>
      </w:r>
    </w:p>
    <w:p w14:paraId="6C438FFD">
      <w:pPr>
        <w:ind w:firstLine="560"/>
        <w:rPr>
          <w:rFonts w:hint="eastAsia"/>
          <w:lang w:val="en-US" w:eastAsia="zh-CN"/>
        </w:rPr>
      </w:pPr>
      <w:r>
        <w:rPr>
          <w:rFonts w:hint="eastAsia"/>
          <w:lang w:val="en-US" w:eastAsia="zh-CN"/>
        </w:rPr>
        <w:t>标准核心应明确质量控制点的位置及实施方法。以往调查国标或规程中质控内容较为粗糙，本标准应将其作为核心扩展，写清控制点在哪里、如何实施。建议在已有国家质控要求基础上，查缺补漏、进一步细化，对原有质控要求进行补充完善。建议考虑近两年新研发监测方法和新设备应用的质控要求，在传统手工方法基础上增加新技术质控内容。标准各部分表述尺度与颗粒度应保持一致，当前外业调查部分较详细，分析阶段偏粗笼统，调查准备阶段设备检校要求也应与其他部分保持一致。</w:t>
      </w:r>
    </w:p>
    <w:p w14:paraId="6C5AE7DB">
      <w:pPr>
        <w:ind w:firstLine="560"/>
        <w:rPr>
          <w:rFonts w:hint="eastAsia"/>
          <w:lang w:val="en-US" w:eastAsia="zh-CN"/>
        </w:rPr>
      </w:pPr>
      <w:r>
        <w:rPr>
          <w:rFonts w:hint="eastAsia"/>
          <w:lang w:val="en-US" w:eastAsia="zh-CN"/>
        </w:rPr>
        <w:t>（9）关于进度安排</w:t>
      </w:r>
    </w:p>
    <w:p w14:paraId="4ED853CE">
      <w:pPr>
        <w:ind w:firstLine="560"/>
        <w:rPr>
          <w:rFonts w:hint="eastAsia"/>
          <w:lang w:val="en-US" w:eastAsia="zh-CN"/>
        </w:rPr>
      </w:pPr>
      <w:r>
        <w:rPr>
          <w:rFonts w:hint="eastAsia"/>
          <w:lang w:val="en-US" w:eastAsia="zh-CN"/>
        </w:rPr>
        <w:t>12个月编制周期较为紧张（国标行标通常18至24个月），建议在保证质量的前提下加快进度、提高编制效率。</w:t>
      </w:r>
    </w:p>
    <w:p w14:paraId="03013245">
      <w:pPr>
        <w:ind w:firstLine="560"/>
        <w:rPr>
          <w:rFonts w:hint="eastAsia"/>
          <w:lang w:val="en-US" w:eastAsia="zh-CN"/>
        </w:rPr>
      </w:pPr>
      <w:r>
        <w:rPr>
          <w:rFonts w:hint="eastAsia"/>
          <w:lang w:val="en-US" w:eastAsia="zh-CN"/>
        </w:rPr>
        <w:t>编写组对上述意见进行了回应，表示本次草案为立项申报阶段框架性文件，后续将补充设计阶段（质量策划）、悬浮体调查等缺失内容；将考虑与国标调查规范的协调互补；成图制图方面将收集资料补充；新型设备质控内容将纳入但需调研界定新旧设备分类。后续拟邀请优势单位共同起草，邀请与会专家参与指导。已建立专家沟通群，会议纪要及专家意见整理后将发各位专家审阅确认。</w:t>
      </w:r>
    </w:p>
    <w:p w14:paraId="5459375A">
      <w:pPr>
        <w:pStyle w:val="2"/>
        <w:rPr>
          <w:rFonts w:hint="eastAsia"/>
        </w:rPr>
      </w:pPr>
      <w:bookmarkStart w:id="5" w:name="_Toc228193460"/>
      <w:r>
        <w:rPr>
          <w:rFonts w:hint="eastAsia"/>
        </w:rPr>
        <w:t>二、</w:t>
      </w:r>
      <w:r>
        <w:t>团体标准编制原则、主要内容及其确定的依据</w:t>
      </w:r>
      <w:bookmarkEnd w:id="5"/>
    </w:p>
    <w:p w14:paraId="24611AE3">
      <w:pPr>
        <w:pStyle w:val="3"/>
      </w:pPr>
      <w:bookmarkStart w:id="6" w:name="_Toc228193461"/>
      <w:r>
        <w:rPr>
          <w:rFonts w:hint="eastAsia"/>
        </w:rPr>
        <w:t>（一）</w:t>
      </w:r>
      <w:r>
        <w:t>编制原则</w:t>
      </w:r>
      <w:bookmarkEnd w:id="6"/>
    </w:p>
    <w:p w14:paraId="3257624C">
      <w:pPr>
        <w:ind w:firstLine="560"/>
        <w:rPr>
          <w:rFonts w:hint="eastAsia"/>
          <w:lang w:val="en-US" w:eastAsia="zh-CN"/>
        </w:rPr>
      </w:pPr>
      <w:r>
        <w:rPr>
          <w:rFonts w:hint="eastAsia"/>
          <w:lang w:val="en-US" w:eastAsia="zh-CN"/>
        </w:rPr>
        <w:t>编制《海洋底质调查质量控制规程》团体标准遵循科学性、实用性、协调性、前瞻性的原则，规定了海洋底质调查过程质量控制的要求，覆盖调查设备、外业调查过程、样品分析、数据审核和成果验收等环节。</w:t>
      </w:r>
    </w:p>
    <w:p w14:paraId="2FAE5741">
      <w:pPr>
        <w:ind w:firstLine="560"/>
        <w:rPr>
          <w:rFonts w:hint="eastAsia"/>
          <w:lang w:val="en-US" w:eastAsia="zh-CN"/>
        </w:rPr>
      </w:pPr>
      <w:r>
        <w:rPr>
          <w:rFonts w:hint="eastAsia"/>
          <w:lang w:val="en-US" w:eastAsia="zh-CN"/>
        </w:rPr>
        <w:t>1. 科学性原则</w:t>
      </w:r>
    </w:p>
    <w:p w14:paraId="706898C2">
      <w:pPr>
        <w:ind w:firstLine="560"/>
        <w:rPr>
          <w:rFonts w:hint="eastAsia"/>
          <w:lang w:val="en-US" w:eastAsia="zh-CN"/>
        </w:rPr>
      </w:pPr>
      <w:r>
        <w:rPr>
          <w:rFonts w:hint="eastAsia"/>
          <w:lang w:val="en-US" w:eastAsia="zh-CN"/>
        </w:rPr>
        <w:t>本标准在编制过程中，充分研究国内外海洋底质调查质量控制的相关法律法规、政策文件和技术标准，吸收新的海洋综合调查项目底质调查技术规程及项目实际工作经验，确保标准内容的技术先进性和科学合理性。标准的质控指标、平行样比例等量化要求均基于实际调查经验和专业数据确定，后续在标准细化时将请各专业专家进一步指导。</w:t>
      </w:r>
    </w:p>
    <w:p w14:paraId="697956F3">
      <w:pPr>
        <w:ind w:firstLine="560"/>
        <w:rPr>
          <w:rFonts w:hint="eastAsia"/>
          <w:lang w:val="en-US" w:eastAsia="zh-CN"/>
        </w:rPr>
      </w:pPr>
      <w:r>
        <w:rPr>
          <w:rFonts w:hint="eastAsia"/>
          <w:lang w:val="en-US" w:eastAsia="zh-CN"/>
        </w:rPr>
        <w:t>2. 实用性原则</w:t>
      </w:r>
    </w:p>
    <w:p w14:paraId="4DF7D4C9">
      <w:pPr>
        <w:ind w:firstLine="560"/>
        <w:rPr>
          <w:rFonts w:hint="eastAsia"/>
          <w:lang w:val="en-US" w:eastAsia="zh-CN"/>
        </w:rPr>
      </w:pPr>
      <w:r>
        <w:rPr>
          <w:rFonts w:hint="eastAsia"/>
          <w:lang w:val="en-US" w:eastAsia="zh-CN"/>
        </w:rPr>
        <w:t>本标准立足于海洋底质调查实际工作流程，从调查准备、外业调查、样品分析、数据处理到成果编制，对各关键环节提出具体的质控要求。标准内容考虑现有的工作流程基础，通过有效率的质控方法和优化手段，在保障数据质量的同时兼顾工作效率，确保标准具有较强的可操作性。</w:t>
      </w:r>
    </w:p>
    <w:p w14:paraId="066B2BC9">
      <w:pPr>
        <w:ind w:firstLine="560"/>
        <w:rPr>
          <w:rFonts w:hint="eastAsia"/>
          <w:lang w:val="en-US" w:eastAsia="zh-CN"/>
        </w:rPr>
      </w:pPr>
      <w:r>
        <w:rPr>
          <w:rFonts w:hint="eastAsia"/>
          <w:lang w:val="en-US" w:eastAsia="zh-CN"/>
        </w:rPr>
        <w:t>3. 协调性原则</w:t>
      </w:r>
    </w:p>
    <w:p w14:paraId="21527484">
      <w:pPr>
        <w:ind w:firstLine="560"/>
        <w:rPr>
          <w:rFonts w:hint="eastAsia"/>
          <w:lang w:val="en-US" w:eastAsia="zh-CN"/>
        </w:rPr>
      </w:pPr>
      <w:r>
        <w:rPr>
          <w:rFonts w:hint="eastAsia"/>
          <w:lang w:val="en-US" w:eastAsia="zh-CN"/>
        </w:rPr>
        <w:t>本标准严格遵循GB/T 12763《海洋调查规范》、GB 17378《海洋监测规范》等国家标准的技术要求，结合新一轮海洋综合调查项目底质调查技术规程，并充分考虑与已有调查规程的协调互补性。标准编写过程中注意明确质量控制标准与已有规程的区别与衔接，避免内容重复，突出质控标准的互补性和相辅相成作用。同时，本标准研制过程严格按照《中国海洋学会标准管理办法》和团体标准制定程序的要求，充分考虑标准的科学性、合理性、适用性。</w:t>
      </w:r>
    </w:p>
    <w:p w14:paraId="498FC02D">
      <w:pPr>
        <w:ind w:firstLine="560"/>
        <w:rPr>
          <w:rFonts w:hint="eastAsia"/>
          <w:lang w:val="en-US" w:eastAsia="zh-CN"/>
        </w:rPr>
      </w:pPr>
      <w:r>
        <w:rPr>
          <w:rFonts w:hint="eastAsia"/>
          <w:lang w:val="en-US" w:eastAsia="zh-CN"/>
        </w:rPr>
        <w:t>4. 前瞻性原则</w:t>
      </w:r>
    </w:p>
    <w:p w14:paraId="53960A40">
      <w:pPr>
        <w:ind w:firstLine="560"/>
        <w:rPr>
          <w:rFonts w:hint="eastAsia"/>
        </w:rPr>
      </w:pPr>
      <w:r>
        <w:rPr>
          <w:rFonts w:hint="eastAsia"/>
          <w:lang w:val="en-US" w:eastAsia="zh-CN"/>
        </w:rPr>
        <w:t>本标准在传统手工调查方法基础上，考虑近两年新研发监测方法和新设备应用的质控要求，保持标准的前瞻性。对于新型设备和方法，标准将根据调研界定新旧设备分类后纳入相应质控内容，确保标准能够适应技术发展趋势。</w:t>
      </w:r>
    </w:p>
    <w:p w14:paraId="28005C28">
      <w:pPr>
        <w:pStyle w:val="3"/>
      </w:pPr>
      <w:bookmarkStart w:id="7" w:name="_Toc228193462"/>
      <w:r>
        <w:rPr>
          <w:rFonts w:hint="eastAsia"/>
        </w:rPr>
        <w:t>（二）</w:t>
      </w:r>
      <w:r>
        <w:t>主要内容及其确定的依据</w:t>
      </w:r>
      <w:bookmarkEnd w:id="7"/>
    </w:p>
    <w:p w14:paraId="2DCADAA9">
      <w:pPr>
        <w:ind w:firstLine="560"/>
        <w:rPr>
          <w:rFonts w:hint="eastAsia"/>
          <w:lang w:val="en-US" w:eastAsia="zh-CN"/>
        </w:rPr>
      </w:pPr>
      <w:r>
        <w:rPr>
          <w:rFonts w:hint="eastAsia"/>
          <w:lang w:val="en-US" w:eastAsia="zh-CN"/>
        </w:rPr>
        <w:t>本文件规定了海洋底质调查过程质量控制的要求，覆盖调查设备、外业调查过程、样品分析、过程数据审核和成果验收等环节。本文件适用于近岸、近海海洋底质调查的质量控制。</w:t>
      </w:r>
    </w:p>
    <w:p w14:paraId="5EDC4196">
      <w:pPr>
        <w:ind w:firstLine="560"/>
        <w:rPr>
          <w:rFonts w:hint="eastAsia"/>
          <w:lang w:val="en-US" w:eastAsia="zh-CN"/>
        </w:rPr>
      </w:pPr>
      <w:r>
        <w:rPr>
          <w:rFonts w:hint="eastAsia"/>
          <w:lang w:val="en-US" w:eastAsia="zh-CN"/>
        </w:rPr>
        <w:t>1. 总体质量控制要求</w:t>
      </w:r>
    </w:p>
    <w:p w14:paraId="1C483BA7">
      <w:pPr>
        <w:ind w:firstLine="560"/>
        <w:rPr>
          <w:rFonts w:hint="eastAsia"/>
          <w:lang w:val="en-US" w:eastAsia="zh-CN"/>
        </w:rPr>
      </w:pPr>
      <w:r>
        <w:rPr>
          <w:rFonts w:hint="eastAsia"/>
          <w:lang w:val="en-US" w:eastAsia="zh-CN"/>
        </w:rPr>
        <w:t>总体质量控制要求涵盖三个部分：仪器设备校准、人员资质保障、数据审核把关。仪器设备校准主要规定仪器设备使用前要完成检定校准，确保量值准确可溯源。人员资质保障要求质量负责人具备相应职称和工作经验，分析人员持证上岗。数据审核把关主要建立多级审核机制，确保数据的真实、准确和完整。确定依据为国家海洋标准计量中心的质量管理要求和新一轮海洋综合调查项目底质调查技术规程的相关规定。</w:t>
      </w:r>
    </w:p>
    <w:p w14:paraId="4B8774C3">
      <w:pPr>
        <w:ind w:firstLine="560"/>
        <w:rPr>
          <w:rFonts w:hint="eastAsia"/>
          <w:lang w:val="en-US" w:eastAsia="zh-CN"/>
        </w:rPr>
      </w:pPr>
      <w:r>
        <w:rPr>
          <w:rFonts w:hint="eastAsia"/>
          <w:lang w:val="en-US" w:eastAsia="zh-CN"/>
        </w:rPr>
        <w:t>2. 质量策划</w:t>
      </w:r>
    </w:p>
    <w:p w14:paraId="4A078D7B">
      <w:pPr>
        <w:ind w:firstLine="560"/>
        <w:rPr>
          <w:rFonts w:hint="eastAsia"/>
          <w:lang w:val="en-US" w:eastAsia="zh-CN"/>
        </w:rPr>
      </w:pPr>
      <w:r>
        <w:rPr>
          <w:rFonts w:hint="eastAsia"/>
          <w:lang w:val="en-US" w:eastAsia="zh-CN"/>
        </w:rPr>
        <w:t>根据立项审查会专家意见，标准将补充前期质量策划环节（含质量计划制定等内容），形成"质量策划→外业调查→样品分析→成果验收"的完整链条，体现全过程质量控制特色。质量策划阶段主要包括调查方案的编制、质量目标的确定、质控计划制定等内容，为后续各环节质控工作提供策划依据。确定依据为全过程质量管理理念及专家审查意见。</w:t>
      </w:r>
    </w:p>
    <w:p w14:paraId="175D4334">
      <w:pPr>
        <w:ind w:firstLine="560"/>
        <w:rPr>
          <w:rFonts w:hint="eastAsia"/>
          <w:lang w:val="en-US" w:eastAsia="zh-CN"/>
        </w:rPr>
      </w:pPr>
      <w:r>
        <w:rPr>
          <w:rFonts w:hint="eastAsia"/>
          <w:lang w:val="en-US" w:eastAsia="zh-CN"/>
        </w:rPr>
        <w:t>3. 外业调查质量控制</w:t>
      </w:r>
    </w:p>
    <w:p w14:paraId="5C01E8F1">
      <w:pPr>
        <w:ind w:firstLine="560"/>
        <w:rPr>
          <w:rFonts w:hint="eastAsia"/>
          <w:lang w:val="en-US" w:eastAsia="zh-CN"/>
        </w:rPr>
      </w:pPr>
      <w:r>
        <w:rPr>
          <w:rFonts w:hint="eastAsia"/>
          <w:lang w:val="en-US" w:eastAsia="zh-CN"/>
        </w:rPr>
        <w:t>外业调查质控按照调查作业流程顺序，涵盖四个方面：一是调查准备阶段，包括调查方案编制、设备检查校准、人员培训、物资准备等；二是底质采样阶段，包括设备检查和采样规范要求，设定量化指标如同步采样不低于10%，以及样品分装和标识要求；三是样品保存运输阶段，规定冷藏保存条件、冷链运输及防污染措施；四是现场质控记录，规定记录应真实完整、字迹清晰、划改签名、同步归档等要求。同时，标准将增加现场测试环节的质量控制内容。确定依据为新一轮海洋综合调查项目底质调查技术规程和实际外业工作经验。</w:t>
      </w:r>
    </w:p>
    <w:p w14:paraId="23EB629B">
      <w:pPr>
        <w:ind w:firstLine="560"/>
        <w:rPr>
          <w:rFonts w:hint="eastAsia"/>
          <w:lang w:val="en-US" w:eastAsia="zh-CN"/>
        </w:rPr>
      </w:pPr>
      <w:r>
        <w:rPr>
          <w:rFonts w:hint="eastAsia"/>
          <w:lang w:val="en-US" w:eastAsia="zh-CN"/>
        </w:rPr>
        <w:t>4. 样品分析质量控制</w:t>
      </w:r>
    </w:p>
    <w:p w14:paraId="6F943111">
      <w:pPr>
        <w:ind w:firstLine="560"/>
        <w:rPr>
          <w:rFonts w:hint="eastAsia"/>
          <w:lang w:val="en-US" w:eastAsia="zh-CN"/>
        </w:rPr>
      </w:pPr>
      <w:r>
        <w:rPr>
          <w:rFonts w:hint="eastAsia"/>
          <w:lang w:val="en-US" w:eastAsia="zh-CN"/>
        </w:rPr>
        <w:t>样品分析质控针对粒度分析、重金属分析、有机污染物分析、物理性质测定等项目提出质控要求，后续将扩展至所有分析项目。主要内容包括平行样比例要求和质控指标要求。在质控时，对对应的量化指标设定和控制方法进行明确。同时，标准将补充实验室环境要求等内容。确定依据为各分析项目的国家标准方法和实验室质量管理规范。</w:t>
      </w:r>
    </w:p>
    <w:p w14:paraId="67108138">
      <w:pPr>
        <w:ind w:firstLine="560"/>
        <w:rPr>
          <w:rFonts w:hint="eastAsia"/>
          <w:lang w:val="en-US" w:eastAsia="zh-CN"/>
        </w:rPr>
      </w:pPr>
      <w:r>
        <w:rPr>
          <w:rFonts w:hint="eastAsia"/>
          <w:lang w:val="en-US" w:eastAsia="zh-CN"/>
        </w:rPr>
        <w:t>5. 数据审核与成果验收</w:t>
      </w:r>
    </w:p>
    <w:p w14:paraId="0F471DEA">
      <w:pPr>
        <w:ind w:firstLine="560"/>
        <w:rPr>
          <w:rFonts w:hint="eastAsia"/>
          <w:lang w:val="en-US" w:eastAsia="zh-CN"/>
        </w:rPr>
      </w:pPr>
      <w:r>
        <w:rPr>
          <w:rFonts w:hint="eastAsia"/>
          <w:lang w:val="en-US" w:eastAsia="zh-CN"/>
        </w:rPr>
        <w:t>数据审核与成果验收主要规定原始数据的"三个检查"和"两个对比"。三个检查指数据完整性检查、合理性检查和异常值处理；两个对比指重复采样比较（即平行结果的一致性验证）和历史数据比较（与同区域历史数据的比对分析）。同时，标准将增加数据成图、制图方面的质量控制内容，并将报告编写相关质量控制内容纳入标准。确定依据为数据质量控制和成果验收的通用规范及新一轮海洋综合调查项目数据管理要求。</w:t>
      </w:r>
    </w:p>
    <w:p w14:paraId="4A23AA09">
      <w:pPr>
        <w:ind w:firstLine="560"/>
        <w:rPr>
          <w:rFonts w:hint="eastAsia"/>
          <w:lang w:val="en-US" w:eastAsia="zh-CN"/>
        </w:rPr>
      </w:pPr>
      <w:r>
        <w:rPr>
          <w:rFonts w:hint="eastAsia"/>
          <w:lang w:val="en-US" w:eastAsia="zh-CN"/>
        </w:rPr>
        <w:t>6. 悬浮体调查质量控制</w:t>
      </w:r>
    </w:p>
    <w:p w14:paraId="602F4D29">
      <w:pPr>
        <w:ind w:firstLine="560"/>
        <w:rPr>
          <w:rFonts w:hint="eastAsia"/>
          <w:lang w:val="en-US" w:eastAsia="zh-CN"/>
        </w:rPr>
      </w:pPr>
      <w:r>
        <w:rPr>
          <w:rFonts w:hint="eastAsia"/>
          <w:lang w:val="en-US" w:eastAsia="zh-CN"/>
        </w:rPr>
        <w:t>底质调查中包含悬浮体调查内容，标准将根据专家意见明确是否纳入本标准或单独编制，确保内容覆盖全面。确定依据为底质调查全流程覆盖要求和专家审查意见。</w:t>
      </w:r>
    </w:p>
    <w:p w14:paraId="53302063">
      <w:pPr>
        <w:pStyle w:val="2"/>
        <w:rPr>
          <w:rFonts w:hint="eastAsia"/>
        </w:rPr>
      </w:pPr>
      <w:bookmarkStart w:id="8" w:name="_Toc228193463"/>
      <w:r>
        <w:rPr>
          <w:rFonts w:hint="eastAsia"/>
        </w:rPr>
        <w:t>三、</w:t>
      </w:r>
      <w:r>
        <w:t>试验验证的分析、综述报告，技术经济论证，预期的经济效益、社会效益和生态效益</w:t>
      </w:r>
      <w:bookmarkEnd w:id="8"/>
    </w:p>
    <w:p w14:paraId="383D1CE4">
      <w:pPr>
        <w:pStyle w:val="3"/>
        <w:spacing w:before="240" w:after="120"/>
      </w:pPr>
      <w:r>
        <w:rPr>
          <w:rFonts w:ascii="黑体" w:hAnsi="黑体" w:eastAsia="黑体"/>
          <w:b/>
          <w:bCs/>
          <w:sz w:val="28"/>
          <w:szCs w:val="28"/>
        </w:rPr>
        <w:t>（一）试验验证的分析、综述报告，技术经济论证</w:t>
      </w:r>
    </w:p>
    <w:p w14:paraId="3109D358">
      <w:pPr>
        <w:ind w:firstLine="560"/>
        <w:rPr>
          <w:rFonts w:hint="eastAsia"/>
          <w:lang w:val="en-US" w:eastAsia="zh-CN"/>
        </w:rPr>
      </w:pPr>
      <w:r>
        <w:rPr>
          <w:rFonts w:hint="eastAsia"/>
          <w:lang w:val="en-US" w:eastAsia="zh-CN"/>
        </w:rPr>
        <w:t>1. 技术可行性综述</w:t>
      </w:r>
    </w:p>
    <w:p w14:paraId="4362921A">
      <w:pPr>
        <w:ind w:firstLine="560"/>
        <w:rPr>
          <w:rFonts w:hint="eastAsia"/>
          <w:lang w:val="en-US" w:eastAsia="zh-CN"/>
        </w:rPr>
      </w:pPr>
      <w:r>
        <w:rPr>
          <w:rFonts w:hint="eastAsia"/>
          <w:lang w:val="en-US" w:eastAsia="zh-CN"/>
        </w:rPr>
        <w:t>本标准的核心技术内容来源于国家海洋标准计量中心在海洋底质调查质量管理方面的长期实践经验和新一轮海洋综合调查项目底质调查技术规程的编制成果。标准编制过程中，编写组对国内外海洋底质调查质量控制相关标准、技术规程和实际工作经验进行了系统调研和总结。</w:t>
      </w:r>
    </w:p>
    <w:p w14:paraId="3610120F">
      <w:pPr>
        <w:ind w:firstLine="560"/>
        <w:rPr>
          <w:rFonts w:hint="eastAsia"/>
          <w:lang w:val="en-US" w:eastAsia="zh-CN"/>
        </w:rPr>
      </w:pPr>
      <w:r>
        <w:rPr>
          <w:rFonts w:hint="eastAsia"/>
          <w:lang w:val="en-US" w:eastAsia="zh-CN"/>
        </w:rPr>
        <w:t>在技术路径上，本标准将质量控制内容从调查规范中独立出来，形成专门的质量控制标准，这一做法本身即是创新。标准明确了质量控制点的位置和实施方法，以往调查国标或规程中质控内容较为粗糙，本标准将其作为核心扩展，能够为海洋底质调查提供系统、可操作的质控指导。</w:t>
      </w:r>
    </w:p>
    <w:p w14:paraId="2983355A">
      <w:pPr>
        <w:ind w:firstLine="560"/>
        <w:rPr>
          <w:rFonts w:hint="eastAsia"/>
          <w:lang w:val="en-US" w:eastAsia="zh-CN"/>
        </w:rPr>
      </w:pPr>
      <w:r>
        <w:rPr>
          <w:rFonts w:hint="eastAsia"/>
          <w:lang w:val="en-US" w:eastAsia="zh-CN"/>
        </w:rPr>
        <w:t>在标准化与可复制性方面，本标准通过对调查准备、外业调查、样品分析、数据审核与成果验收等关键环节质控要求的量化与规范，形成了标准化操作流程，确保质控技术在类似调查条件下的可复制性与可推广性。对于新型设备和新方法，标准将通过调研界定新旧设备分类后纳入相应质控内容，保持标准的适应性和前瞻性。</w:t>
      </w:r>
    </w:p>
    <w:p w14:paraId="5D3001DE">
      <w:pPr>
        <w:ind w:firstLine="560"/>
        <w:rPr>
          <w:rFonts w:hint="eastAsia"/>
          <w:lang w:val="en-US" w:eastAsia="zh-CN"/>
        </w:rPr>
      </w:pPr>
      <w:r>
        <w:rPr>
          <w:rFonts w:hint="eastAsia"/>
          <w:lang w:val="en-US" w:eastAsia="zh-CN"/>
        </w:rPr>
        <w:t>2. 经济合理性论证</w:t>
      </w:r>
    </w:p>
    <w:p w14:paraId="23F7E2FB">
      <w:pPr>
        <w:ind w:firstLine="560"/>
        <w:rPr>
          <w:rFonts w:hint="eastAsia"/>
          <w:lang w:val="en-US" w:eastAsia="zh-CN"/>
        </w:rPr>
      </w:pPr>
      <w:r>
        <w:rPr>
          <w:rFonts w:hint="eastAsia"/>
          <w:lang w:val="en-US" w:eastAsia="zh-CN"/>
        </w:rPr>
        <w:t>本标准的实施不会增加调查工作的额外成本，而是在现有工作流程基础上，通过统一质控方法和要求，规范各环节操作，提高工作效率。具体而言：一是通过有效率的质控，避免因质控不当导致的数据返工和重复调查，减少资源浪费；二是通过统一质控标准，降低不同调查单位之间的沟通协调成本；三是通过提升数据质量，提高调查成果的使用价值和转化效益。</w:t>
      </w:r>
    </w:p>
    <w:p w14:paraId="68950A31">
      <w:pPr>
        <w:ind w:firstLine="560"/>
        <w:rPr>
          <w:rFonts w:hint="eastAsia"/>
          <w:lang w:val="en-US" w:eastAsia="zh-CN"/>
        </w:rPr>
      </w:pPr>
      <w:r>
        <w:rPr>
          <w:rFonts w:hint="eastAsia"/>
          <w:lang w:val="en-US" w:eastAsia="zh-CN"/>
        </w:rPr>
        <w:t>海洋底质调查不仅在项目中使用，在海洋工程、环境评价、资源开发等领域也有类似工作需求。本标准为行业提供统一的质控参考，有助于提升行业整体数据质量管理水平，降低因数据质量问题导致的决策风险和经济损失。</w:t>
      </w:r>
    </w:p>
    <w:p w14:paraId="5514D173">
      <w:pPr>
        <w:pStyle w:val="3"/>
        <w:spacing w:before="240" w:after="120"/>
      </w:pPr>
      <w:r>
        <w:rPr>
          <w:rFonts w:ascii="黑体" w:hAnsi="黑体" w:eastAsia="黑体"/>
          <w:b/>
          <w:bCs/>
          <w:sz w:val="28"/>
          <w:szCs w:val="28"/>
        </w:rPr>
        <w:t>（二）预期效益</w:t>
      </w:r>
    </w:p>
    <w:p w14:paraId="74C776C7">
      <w:pPr>
        <w:ind w:firstLine="560"/>
        <w:rPr>
          <w:rFonts w:hint="eastAsia"/>
          <w:lang w:val="en-US" w:eastAsia="zh-CN"/>
        </w:rPr>
      </w:pPr>
      <w:r>
        <w:rPr>
          <w:rFonts w:hint="eastAsia"/>
          <w:lang w:val="en-US" w:eastAsia="zh-CN"/>
        </w:rPr>
        <w:t>该标准的制定与实施，将在标准体系完善、数据质量提升、工作效率提高和行业发展支撑等方面产生显著的综合效益。</w:t>
      </w:r>
    </w:p>
    <w:p w14:paraId="5192846F">
      <w:pPr>
        <w:ind w:firstLine="560"/>
        <w:rPr>
          <w:rFonts w:hint="eastAsia"/>
          <w:lang w:val="en-US" w:eastAsia="zh-CN"/>
        </w:rPr>
      </w:pPr>
      <w:r>
        <w:rPr>
          <w:rFonts w:hint="eastAsia"/>
          <w:lang w:val="en-US" w:eastAsia="zh-CN"/>
        </w:rPr>
        <w:t>1. 完善标准体系</w:t>
      </w:r>
    </w:p>
    <w:p w14:paraId="07A23DE4">
      <w:pPr>
        <w:ind w:firstLine="560"/>
        <w:rPr>
          <w:rFonts w:hint="eastAsia"/>
          <w:lang w:val="en-US" w:eastAsia="zh-CN"/>
        </w:rPr>
      </w:pPr>
      <w:r>
        <w:rPr>
          <w:rFonts w:hint="eastAsia"/>
          <w:lang w:val="en-US" w:eastAsia="zh-CN"/>
        </w:rPr>
        <w:t>建立海洋底质调查质量控制团体标准，填补海洋底质调查质量控制领域团体标准的空白，完善海洋底质调查质量管理的标准体系，达到国内先进水平。同时，为系列海洋调查质量控制团体标准的编制提供参考和借鉴。</w:t>
      </w:r>
    </w:p>
    <w:p w14:paraId="601CBC85">
      <w:pPr>
        <w:ind w:firstLine="560"/>
        <w:rPr>
          <w:rFonts w:hint="eastAsia"/>
          <w:lang w:val="en-US" w:eastAsia="zh-CN"/>
        </w:rPr>
      </w:pPr>
      <w:r>
        <w:rPr>
          <w:rFonts w:hint="eastAsia"/>
          <w:lang w:val="en-US" w:eastAsia="zh-CN"/>
        </w:rPr>
        <w:t>2. 提高数据质量</w:t>
      </w:r>
    </w:p>
    <w:p w14:paraId="6CEFD579">
      <w:pPr>
        <w:ind w:firstLine="560"/>
        <w:rPr>
          <w:rFonts w:hint="eastAsia"/>
          <w:lang w:val="en-US" w:eastAsia="zh-CN"/>
        </w:rPr>
      </w:pPr>
      <w:r>
        <w:rPr>
          <w:rFonts w:hint="eastAsia"/>
          <w:lang w:val="en-US" w:eastAsia="zh-CN"/>
        </w:rPr>
        <w:t>通过统一质控方法和要求，规范各环节操作后，能够显著提升海洋底质调查数据的准确性、可靠性和可比性，为海洋科学研究、资源开发评价和海洋管理提供可靠的数据支撑。</w:t>
      </w:r>
    </w:p>
    <w:p w14:paraId="67CFED3B">
      <w:pPr>
        <w:ind w:firstLine="560"/>
        <w:rPr>
          <w:rFonts w:hint="eastAsia"/>
          <w:lang w:val="en-US" w:eastAsia="zh-CN"/>
        </w:rPr>
      </w:pPr>
      <w:r>
        <w:rPr>
          <w:rFonts w:hint="eastAsia"/>
          <w:lang w:val="en-US" w:eastAsia="zh-CN"/>
        </w:rPr>
        <w:t>3. 提升工作效率</w:t>
      </w:r>
    </w:p>
    <w:p w14:paraId="5A71C865">
      <w:pPr>
        <w:ind w:firstLine="560"/>
        <w:rPr>
          <w:rFonts w:hint="eastAsia"/>
          <w:lang w:val="en-US" w:eastAsia="zh-CN"/>
        </w:rPr>
      </w:pPr>
      <w:r>
        <w:rPr>
          <w:rFonts w:hint="eastAsia"/>
          <w:lang w:val="en-US" w:eastAsia="zh-CN"/>
        </w:rPr>
        <w:t>在现有工作流程基础上，通过有效率的质控和方法的优化，提高调查的工作效率。质控作为调查整个工作中的一个环节，通过标准化管理，避免因质控不当导致的返工和重复工作。</w:t>
      </w:r>
    </w:p>
    <w:p w14:paraId="269F55E8">
      <w:pPr>
        <w:ind w:firstLine="560"/>
        <w:rPr>
          <w:rFonts w:hint="eastAsia"/>
          <w:lang w:val="en-US" w:eastAsia="zh-CN"/>
        </w:rPr>
      </w:pPr>
      <w:r>
        <w:rPr>
          <w:rFonts w:hint="eastAsia"/>
          <w:lang w:val="en-US" w:eastAsia="zh-CN"/>
        </w:rPr>
        <w:t>4. 支撑行业发展</w:t>
      </w:r>
    </w:p>
    <w:p w14:paraId="434AB1BA">
      <w:pPr>
        <w:ind w:firstLine="560"/>
        <w:rPr>
          <w:rFonts w:hint="eastAsia"/>
          <w:lang w:val="en-US" w:eastAsia="zh-CN"/>
        </w:rPr>
      </w:pPr>
      <w:r>
        <w:rPr>
          <w:rFonts w:hint="eastAsia"/>
          <w:lang w:val="en-US" w:eastAsia="zh-CN"/>
        </w:rPr>
        <w:t>海洋底质调查不仅在项目中使用，在海洋工程、环境评价、资源开发等领域也有类似工作需求。虽然目的和服务对象不同，但质量控制的要求具有共通性。本标准能够为行业所用，为相关领域提供质控参考，促进行业整体质量管理水平的提升。</w:t>
      </w:r>
    </w:p>
    <w:p w14:paraId="5E0D9F8F">
      <w:pPr>
        <w:ind w:firstLine="560"/>
        <w:rPr>
          <w:rFonts w:hint="eastAsia"/>
          <w:lang w:val="en-US" w:eastAsia="zh-CN"/>
        </w:rPr>
      </w:pPr>
      <w:r>
        <w:rPr>
          <w:rFonts w:hint="eastAsia"/>
          <w:lang w:val="en-US" w:eastAsia="zh-CN"/>
        </w:rPr>
        <w:t>5. 预期成果文件</w:t>
      </w:r>
    </w:p>
    <w:p w14:paraId="4A7B99D3">
      <w:pPr>
        <w:ind w:firstLine="560"/>
        <w:rPr>
          <w:rFonts w:hint="eastAsia"/>
          <w:lang w:val="en-US" w:eastAsia="zh-CN"/>
        </w:rPr>
      </w:pPr>
      <w:r>
        <w:rPr>
          <w:rFonts w:hint="eastAsia"/>
          <w:lang w:val="en-US" w:eastAsia="zh-CN"/>
        </w:rPr>
        <w:t>本标准将形成的主要成果文件包括标准文本和编制说明，以及整个征求意见过程的汇总和处理表。</w:t>
      </w:r>
    </w:p>
    <w:p w14:paraId="5F4D7020">
      <w:pPr>
        <w:pStyle w:val="2"/>
        <w:rPr>
          <w:rFonts w:hint="eastAsia"/>
        </w:rPr>
      </w:pPr>
      <w:bookmarkStart w:id="9" w:name="_Toc228193466"/>
      <w:r>
        <w:rPr>
          <w:rFonts w:hint="eastAsia"/>
        </w:rPr>
        <w:t>四、</w:t>
      </w:r>
      <w:r>
        <w:t>与国际、国外同类标准技术内容的对比情况，或者与测试的国外样品、样机有关数据的对比情况；</w:t>
      </w:r>
      <w:bookmarkEnd w:id="9"/>
    </w:p>
    <w:p w14:paraId="512D3F03">
      <w:pPr>
        <w:ind w:firstLine="560"/>
        <w:rPr>
          <w:rFonts w:hint="eastAsia"/>
          <w:lang w:val="en-US" w:eastAsia="zh-CN"/>
        </w:rPr>
      </w:pPr>
      <w:bookmarkStart w:id="10" w:name="_Toc228193469"/>
      <w:r>
        <w:rPr>
          <w:rFonts w:hint="eastAsia"/>
          <w:lang w:val="en-US" w:eastAsia="zh-CN"/>
        </w:rPr>
        <w:t>国际上，海洋调查质量控制相关标准主要由国际标准化组织（ISO）、国际海洋考察理事会（ICES）等机构制定，但主要集中于海洋调查总体规范和个别要素的监测方法标准。目前国际上尚无针对"海洋底质调查质量控制"这一特定领域的系统性技术标准或操作规程。</w:t>
      </w:r>
    </w:p>
    <w:p w14:paraId="22803C1B">
      <w:pPr>
        <w:pStyle w:val="3"/>
        <w:spacing w:before="240" w:after="120"/>
      </w:pPr>
      <w:r>
        <w:rPr>
          <w:rFonts w:ascii="黑体" w:hAnsi="黑体" w:eastAsia="黑体"/>
          <w:b/>
          <w:bCs/>
          <w:sz w:val="28"/>
          <w:szCs w:val="28"/>
        </w:rPr>
        <w:t>（一）国际相关标准与技术概况</w:t>
      </w:r>
    </w:p>
    <w:p w14:paraId="1798FAC1">
      <w:pPr>
        <w:ind w:firstLine="560"/>
        <w:rPr>
          <w:rFonts w:hint="eastAsia"/>
          <w:lang w:val="en-US" w:eastAsia="zh-CN"/>
        </w:rPr>
      </w:pPr>
      <w:r>
        <w:rPr>
          <w:rFonts w:hint="eastAsia"/>
          <w:lang w:val="en-US" w:eastAsia="zh-CN"/>
        </w:rPr>
        <w:t>（1）ISO/TC 8（船舶与海洋技术）下设的海洋技术分委会制定了若干海洋调查相关标准，涉及海洋调查设备、方法和数据管理等方面，但对底质调查质量控制的具体要求较少涉及。</w:t>
      </w:r>
    </w:p>
    <w:p w14:paraId="5EAEF1BA">
      <w:pPr>
        <w:ind w:firstLine="560"/>
        <w:rPr>
          <w:rFonts w:hint="eastAsia"/>
          <w:lang w:val="en-US" w:eastAsia="zh-CN"/>
        </w:rPr>
      </w:pPr>
      <w:r>
        <w:rPr>
          <w:rFonts w:hint="eastAsia"/>
          <w:lang w:val="en-US" w:eastAsia="zh-CN"/>
        </w:rPr>
        <w:t>（2）ICES发布的海洋底质调查相关技术规程</w:t>
      </w:r>
      <w:bookmarkStart w:id="16" w:name="_GoBack"/>
      <w:bookmarkEnd w:id="16"/>
      <w:r>
        <w:rPr>
          <w:rFonts w:hint="eastAsia"/>
          <w:lang w:val="en-US" w:eastAsia="zh-CN"/>
        </w:rPr>
        <w:t>中，对底质采样、样品保存和分析方法有技术性指导，但质量控制内容散见于各方法标准中，缺乏系统的质量控制体系。</w:t>
      </w:r>
    </w:p>
    <w:p w14:paraId="56904718">
      <w:pPr>
        <w:ind w:firstLine="560"/>
        <w:rPr>
          <w:rFonts w:hint="eastAsia"/>
          <w:lang w:val="en-US" w:eastAsia="zh-CN"/>
        </w:rPr>
      </w:pPr>
      <w:r>
        <w:rPr>
          <w:rFonts w:hint="eastAsia"/>
          <w:lang w:val="en-US" w:eastAsia="zh-CN"/>
        </w:rPr>
        <w:t>（3）美国地质调查局（USGS）和英国地质调查局（BGS）在海洋底质调查中均有内部质量管理程序，但未形成公开的专门技术标准。</w:t>
      </w:r>
    </w:p>
    <w:p w14:paraId="3D1B62F8">
      <w:pPr>
        <w:pStyle w:val="3"/>
        <w:spacing w:before="240" w:after="120"/>
      </w:pPr>
      <w:r>
        <w:rPr>
          <w:rFonts w:ascii="黑体" w:hAnsi="黑体" w:eastAsia="黑体"/>
          <w:b/>
          <w:bCs/>
          <w:sz w:val="28"/>
          <w:szCs w:val="28"/>
        </w:rPr>
        <w:t>（二）与国外技术的对比分析</w:t>
      </w:r>
    </w:p>
    <w:p w14:paraId="3EBAE3DB">
      <w:pPr>
        <w:ind w:firstLine="560"/>
        <w:rPr>
          <w:rFonts w:hint="eastAsia"/>
          <w:lang w:val="en-US" w:eastAsia="zh-CN"/>
        </w:rPr>
      </w:pPr>
      <w:r>
        <w:rPr>
          <w:rFonts w:hint="eastAsia"/>
          <w:lang w:val="en-US" w:eastAsia="zh-CN"/>
        </w:rPr>
        <w:t>与国际现有海洋调查标准相比，本标准具有以下特色：</w:t>
      </w:r>
    </w:p>
    <w:p w14:paraId="242B26F9">
      <w:pPr>
        <w:ind w:firstLine="560"/>
        <w:rPr>
          <w:rFonts w:hint="eastAsia"/>
          <w:lang w:val="en-US" w:eastAsia="zh-CN"/>
        </w:rPr>
      </w:pPr>
      <w:r>
        <w:rPr>
          <w:rFonts w:hint="eastAsia"/>
          <w:lang w:val="en-US" w:eastAsia="zh-CN"/>
        </w:rPr>
        <w:t>一是针对性强。国际标准普遍以海洋调查总体规范为主，质量控制内容较为概括；本标准聚焦海洋底质调查特定领域，提出一套可直接操作的质量控制要求，弥补了国际标准的技术空白。</w:t>
      </w:r>
    </w:p>
    <w:p w14:paraId="013A6276">
      <w:pPr>
        <w:ind w:firstLine="560"/>
        <w:rPr>
          <w:rFonts w:hint="eastAsia"/>
          <w:lang w:val="en-US" w:eastAsia="zh-CN"/>
        </w:rPr>
      </w:pPr>
      <w:r>
        <w:rPr>
          <w:rFonts w:hint="eastAsia"/>
          <w:lang w:val="en-US" w:eastAsia="zh-CN"/>
        </w:rPr>
        <w:t>二是技术体系完整。本标准构建了从质量策划、调查准备、外业调查、样品分析到数据审核与成果验收的全流程质控体系，实现了海洋底质调查质量控制从经验型管理向规范化、标准化管理的转变。</w:t>
      </w:r>
    </w:p>
    <w:p w14:paraId="1D777440">
      <w:pPr>
        <w:ind w:firstLine="560"/>
        <w:rPr>
          <w:rFonts w:hint="eastAsia"/>
          <w:lang w:val="en-US" w:eastAsia="zh-CN"/>
        </w:rPr>
      </w:pPr>
      <w:r>
        <w:rPr>
          <w:rFonts w:hint="eastAsia"/>
          <w:lang w:val="en-US" w:eastAsia="zh-CN"/>
        </w:rPr>
        <w:t>经检索，当前国外没有针对海洋底质调查质量控制的国际标准或其他国外地区标准。</w:t>
      </w:r>
    </w:p>
    <w:p w14:paraId="5A08B435">
      <w:pPr>
        <w:pStyle w:val="2"/>
        <w:rPr>
          <w:rFonts w:hint="eastAsia"/>
        </w:rPr>
      </w:pPr>
      <w:r>
        <w:rPr>
          <w:rFonts w:hint="eastAsia"/>
        </w:rPr>
        <w:t>五、</w:t>
      </w:r>
      <w:r>
        <w:t>以国际标准或国外先进标准为基础起草的团体标准，说明是否合规引用或采用</w:t>
      </w:r>
      <w:bookmarkEnd w:id="10"/>
    </w:p>
    <w:p w14:paraId="09B454D7">
      <w:pPr>
        <w:ind w:firstLine="560"/>
        <w:rPr>
          <w:rFonts w:hint="eastAsia"/>
          <w:lang w:val="en-US" w:eastAsia="zh-CN"/>
        </w:rPr>
      </w:pPr>
      <w:bookmarkStart w:id="11" w:name="_Toc228193470"/>
      <w:r>
        <w:rPr>
          <w:rFonts w:hint="eastAsia"/>
          <w:lang w:val="en-US" w:eastAsia="zh-CN"/>
        </w:rPr>
        <w:t>经系统调研与比对，本标准在起草过程中未直接采用或全文引用国际标准或国外先进标准。主要原因在于：目前国际上尚无针对"海洋底质调查质量控制"这一特定领域的系统性技术标准或工程导则，现有的国际文件多为海洋调查总体规范或个别要素的监测方法标准，缺乏可直接用于质量控制的技术细则。本标准主要依据国内国家标准（GB/T 12763《海洋调查规范》、GB 17378《海洋监测规范》）和新一轮海洋综合调查项目底质调查技术规程，结合国内海洋底质调查实际工作经验编制而成。</w:t>
      </w:r>
    </w:p>
    <w:p w14:paraId="684AC233">
      <w:pPr>
        <w:pStyle w:val="2"/>
        <w:rPr>
          <w:rFonts w:hint="eastAsia"/>
        </w:rPr>
      </w:pPr>
      <w:r>
        <w:rPr>
          <w:rFonts w:hint="eastAsia"/>
        </w:rPr>
        <w:t>六、</w:t>
      </w:r>
      <w:r>
        <w:t>与相关法律、行政法规及相关标准的关系</w:t>
      </w:r>
      <w:bookmarkEnd w:id="11"/>
    </w:p>
    <w:p w14:paraId="435895FE">
      <w:pPr>
        <w:ind w:firstLine="560"/>
        <w:rPr>
          <w:rFonts w:hint="eastAsia"/>
          <w:lang w:val="en-US" w:eastAsia="zh-CN"/>
        </w:rPr>
      </w:pPr>
      <w:bookmarkStart w:id="12" w:name="_Toc228193471"/>
      <w:r>
        <w:rPr>
          <w:rFonts w:hint="eastAsia"/>
          <w:lang w:val="en-US" w:eastAsia="zh-CN"/>
        </w:rPr>
        <w:t>本标准制定严格遵循《中华人民共和国标准化法》和国家有关海洋调查、标准化管理等法律、行政法规和政策文件的要求，与现行国家标准、行业标准体系相互衔接、协调配套、互为补充。</w:t>
      </w:r>
    </w:p>
    <w:p w14:paraId="05E7205A">
      <w:pPr>
        <w:ind w:firstLine="560"/>
        <w:rPr>
          <w:rFonts w:hint="eastAsia"/>
          <w:lang w:val="en-US" w:eastAsia="zh-CN"/>
        </w:rPr>
      </w:pPr>
      <w:r>
        <w:rPr>
          <w:rFonts w:hint="eastAsia"/>
          <w:lang w:val="en-US" w:eastAsia="zh-CN"/>
        </w:rPr>
        <w:t>经检索，关联性比较大的文件有：</w:t>
      </w:r>
    </w:p>
    <w:p w14:paraId="3AF0D207">
      <w:pPr>
        <w:ind w:firstLine="560"/>
        <w:rPr>
          <w:rFonts w:hint="eastAsia"/>
          <w:lang w:val="en-US" w:eastAsia="zh-CN"/>
        </w:rPr>
      </w:pPr>
      <w:r>
        <w:rPr>
          <w:rFonts w:hint="eastAsia"/>
          <w:lang w:val="en-US" w:eastAsia="zh-CN"/>
        </w:rPr>
        <w:t>1. GB/T 12763《海洋调查规范》</w:t>
      </w:r>
    </w:p>
    <w:p w14:paraId="7DBA1E39">
      <w:pPr>
        <w:ind w:firstLine="560"/>
        <w:rPr>
          <w:rFonts w:hint="eastAsia"/>
          <w:lang w:val="en-US" w:eastAsia="zh-CN"/>
        </w:rPr>
      </w:pPr>
      <w:r>
        <w:rPr>
          <w:rFonts w:hint="eastAsia"/>
          <w:lang w:val="en-US" w:eastAsia="zh-CN"/>
        </w:rPr>
        <w:t>本标准在总体原则和技术要求上与该国家标准保持一致，特别是在海洋底质调查规范（第12部分）方面进行引用和衔接。本标准在引用过程中注意区分项目规程引用与国标引用，确保引用表述的准确性。国家标准中对质控有原则性要求，本标准在此基础上进行细化和补充，形成系统的质控要求。</w:t>
      </w:r>
    </w:p>
    <w:p w14:paraId="155472C9">
      <w:pPr>
        <w:ind w:firstLine="560"/>
        <w:rPr>
          <w:rFonts w:hint="eastAsia"/>
          <w:lang w:val="en-US" w:eastAsia="zh-CN"/>
        </w:rPr>
      </w:pPr>
      <w:r>
        <w:rPr>
          <w:rFonts w:hint="eastAsia"/>
          <w:lang w:val="en-US" w:eastAsia="zh-CN"/>
        </w:rPr>
        <w:t>2. GB 17378《海洋监测规范》</w:t>
      </w:r>
    </w:p>
    <w:p w14:paraId="1AD45B52">
      <w:pPr>
        <w:ind w:firstLine="560"/>
        <w:rPr>
          <w:rFonts w:hint="eastAsia"/>
          <w:lang w:val="en-US" w:eastAsia="zh-CN"/>
        </w:rPr>
      </w:pPr>
      <w:r>
        <w:rPr>
          <w:rFonts w:hint="eastAsia"/>
          <w:lang w:val="en-US" w:eastAsia="zh-CN"/>
        </w:rPr>
        <w:t>本标准在样品分析质控、数据审核等方面参考了该国家标准的技术要求，特别是在粒度分析、重金属分析、有机污染物分析、物理性质测定等项目的质控要求上保持衔接。本标准在此基础上进行查缺补漏和进一步细化，对原有质控要求进行补充完善。</w:t>
      </w:r>
    </w:p>
    <w:p w14:paraId="7D5E590A">
      <w:pPr>
        <w:ind w:firstLine="560"/>
        <w:rPr>
          <w:rFonts w:hint="eastAsia"/>
          <w:lang w:val="en-US" w:eastAsia="zh-CN"/>
        </w:rPr>
      </w:pPr>
      <w:r>
        <w:rPr>
          <w:rFonts w:hint="eastAsia"/>
          <w:lang w:val="en-US" w:eastAsia="zh-CN"/>
        </w:rPr>
        <w:t>3. 新一轮海洋综合调查项目底质调查技术规程</w:t>
      </w:r>
    </w:p>
    <w:p w14:paraId="2B14D85A">
      <w:pPr>
        <w:ind w:firstLine="560"/>
        <w:rPr>
          <w:rFonts w:hint="eastAsia"/>
          <w:lang w:val="en-US" w:eastAsia="zh-CN"/>
        </w:rPr>
      </w:pPr>
      <w:r>
        <w:rPr>
          <w:rFonts w:hint="eastAsia"/>
          <w:lang w:val="en-US" w:eastAsia="zh-CN"/>
        </w:rPr>
        <w:t>本标准将新一轮海洋综合调查项目底质调查技术规程作为重要参考文件，在质控要求和操作规范方面与之衔接。本标准明确与该规程的区别与互补关系：规程侧重调查技术方法，本标准侧重质量控制要求，两者相辅相成。规程中已有的内容在本标准中适当弱化，避免重复。</w:t>
      </w:r>
    </w:p>
    <w:p w14:paraId="24013999">
      <w:pPr>
        <w:ind w:firstLine="560"/>
        <w:rPr>
          <w:rFonts w:hint="eastAsia"/>
          <w:lang w:val="en-US" w:eastAsia="zh-CN"/>
        </w:rPr>
      </w:pPr>
      <w:r>
        <w:rPr>
          <w:rFonts w:hint="eastAsia"/>
          <w:lang w:val="en-US" w:eastAsia="zh-CN"/>
        </w:rPr>
        <w:t>4. 相关团体标准</w:t>
      </w:r>
    </w:p>
    <w:p w14:paraId="57B64EFD">
      <w:pPr>
        <w:ind w:firstLine="560"/>
        <w:rPr>
          <w:rFonts w:hint="eastAsia"/>
          <w:lang w:val="en-US" w:eastAsia="zh-CN"/>
        </w:rPr>
      </w:pPr>
      <w:r>
        <w:rPr>
          <w:rFonts w:hint="eastAsia"/>
          <w:lang w:val="en-US" w:eastAsia="zh-CN"/>
        </w:rPr>
        <w:t>本标准将此前已发布的相关团体标准纳入引用文件，完善标准引用体系。在编制过程中，参考了其他专业（物理海洋、海水化学、地球物理）质量控制团体标准的编制经验，保持系列标准之间的协调统一。</w:t>
      </w:r>
    </w:p>
    <w:p w14:paraId="3D6A3E5B">
      <w:pPr>
        <w:ind w:firstLine="560"/>
        <w:rPr>
          <w:rFonts w:hint="eastAsia"/>
          <w:lang w:val="en-US" w:eastAsia="zh-CN"/>
        </w:rPr>
      </w:pPr>
      <w:r>
        <w:rPr>
          <w:rFonts w:hint="eastAsia"/>
          <w:lang w:val="en-US" w:eastAsia="zh-CN"/>
        </w:rPr>
        <w:t>综上，本标准与现行国家法律、行政法规、行业及团体标准体系相协调、相衔接，既贯彻了国家海洋调查标准化管理的总体要求，又填补了海洋底质调查质量控制领域的标准空白，为海洋底质调查质量管理工作提供了系统、科学、可操作的技术支撑。</w:t>
      </w:r>
    </w:p>
    <w:p w14:paraId="5212A350">
      <w:pPr>
        <w:pStyle w:val="2"/>
        <w:rPr>
          <w:rFonts w:hint="eastAsia"/>
        </w:rPr>
      </w:pPr>
      <w:r>
        <w:rPr>
          <w:rFonts w:hint="eastAsia"/>
        </w:rPr>
        <w:t>七、</w:t>
      </w:r>
      <w:r>
        <w:t>重大分歧意见的处理经过和依据</w:t>
      </w:r>
      <w:bookmarkEnd w:id="12"/>
    </w:p>
    <w:p w14:paraId="3C018308">
      <w:pPr>
        <w:ind w:firstLine="560"/>
        <w:rPr>
          <w:rFonts w:hint="eastAsia"/>
        </w:rPr>
      </w:pPr>
      <w:r>
        <w:t>该标准制订过程中，未出现重大意见分歧。</w:t>
      </w:r>
    </w:p>
    <w:p w14:paraId="0135C932">
      <w:pPr>
        <w:pStyle w:val="2"/>
        <w:rPr>
          <w:rFonts w:hint="eastAsia"/>
        </w:rPr>
      </w:pPr>
      <w:bookmarkStart w:id="13" w:name="_Toc228193472"/>
      <w:r>
        <w:rPr>
          <w:rFonts w:hint="eastAsia"/>
        </w:rPr>
        <w:t>八、</w:t>
      </w:r>
      <w:r>
        <w:t>涉及专利的有关说明</w:t>
      </w:r>
      <w:bookmarkEnd w:id="13"/>
    </w:p>
    <w:p w14:paraId="694B4FDC">
      <w:pPr>
        <w:ind w:firstLine="560"/>
        <w:rPr>
          <w:rFonts w:hint="eastAsia"/>
          <w:lang w:val="en-US" w:eastAsia="zh-CN"/>
        </w:rPr>
      </w:pPr>
      <w:bookmarkStart w:id="14" w:name="_Toc228193473"/>
      <w:r>
        <w:rPr>
          <w:rFonts w:hint="eastAsia"/>
          <w:lang w:val="en-US" w:eastAsia="zh-CN"/>
        </w:rPr>
        <w:t>本标准在编制过程中，未涉及国家专利技术。标准中的技术内容主要依据国家标准、新一轮海洋综合调查项目底质调查技术规程和实际工作经验，属于公开可用的技术成果范畴，不存在知识产权纠纷或权属不明的情况。</w:t>
      </w:r>
    </w:p>
    <w:p w14:paraId="7A5A0C22">
      <w:pPr>
        <w:ind w:firstLine="560"/>
        <w:rPr>
          <w:rFonts w:hint="eastAsia"/>
          <w:lang w:val="en-US" w:eastAsia="zh-CN"/>
        </w:rPr>
      </w:pPr>
      <w:r>
        <w:rPr>
          <w:rFonts w:hint="eastAsia"/>
          <w:lang w:val="en-US" w:eastAsia="zh-CN"/>
        </w:rPr>
        <w:t>如后续在标准完善过程中纳入新型设备和新方法的质控要求，编写组将对涉及的技术和设备进行专利检索，明确权属及使用说明，确保标准不构成专利许可，避免技术垄断风险。</w:t>
      </w:r>
    </w:p>
    <w:p w14:paraId="27020BBB">
      <w:pPr>
        <w:pStyle w:val="2"/>
        <w:rPr>
          <w:rFonts w:hint="eastAsia"/>
        </w:rPr>
      </w:pPr>
      <w:r>
        <w:rPr>
          <w:rFonts w:hint="eastAsia"/>
        </w:rPr>
        <w:t>九、</w:t>
      </w:r>
      <w:r>
        <w:t>实施团体标准的要求和措施建议（包括组织措施、技术措施、过渡办法等内容）</w:t>
      </w:r>
      <w:bookmarkEnd w:id="14"/>
    </w:p>
    <w:p w14:paraId="181AE08F">
      <w:pPr>
        <w:pStyle w:val="3"/>
        <w:spacing w:before="240" w:after="120"/>
      </w:pPr>
      <w:bookmarkStart w:id="15" w:name="_Toc228193476"/>
      <w:r>
        <w:rPr>
          <w:rFonts w:ascii="黑体" w:hAnsi="黑体" w:eastAsia="黑体"/>
          <w:b/>
          <w:bCs/>
          <w:sz w:val="28"/>
          <w:szCs w:val="28"/>
        </w:rPr>
        <w:t>（一）组织措施</w:t>
      </w:r>
    </w:p>
    <w:p w14:paraId="2AEC4ECC">
      <w:pPr>
        <w:ind w:firstLine="560"/>
      </w:pPr>
      <w:r>
        <w:t>（1）加强组织协调与宣传推广。标准发布后，由中国海洋学会作为归口管理单位，统筹组织实施与宣贯工作，联合国家海洋标准计量中心及各相关调查单位，形成协同推进机制。通过成果推介会及专题培训班，向海洋调查领域推广标准内容，提高各单位对标准的认知度与执行力。</w:t>
      </w:r>
    </w:p>
    <w:p w14:paraId="12165232">
      <w:pPr>
        <w:ind w:firstLine="560"/>
      </w:pPr>
      <w:r>
        <w:t>（2）建立标准实施示范区。依托典型海洋底质调查工程，建设若干"标准实施示范区"。通过先行先试的工程应用，总结标准在不同海域、不同调查条件下的适应性经验，为后续推广提供案例支撑。后续拟邀请优势单位共同起草，邀请相关专家参与指导。</w:t>
      </w:r>
    </w:p>
    <w:p w14:paraId="340980C8">
      <w:pPr>
        <w:pStyle w:val="3"/>
        <w:spacing w:before="240" w:after="120"/>
      </w:pPr>
      <w:r>
        <w:rPr>
          <w:rFonts w:ascii="黑体" w:hAnsi="黑体" w:eastAsia="黑体"/>
          <w:b/>
          <w:bCs/>
          <w:sz w:val="28"/>
          <w:szCs w:val="28"/>
        </w:rPr>
        <w:t>（二）技术措施</w:t>
      </w:r>
    </w:p>
    <w:p w14:paraId="6EFA9C3D">
      <w:pPr>
        <w:ind w:firstLine="560"/>
        <w:rPr>
          <w:rFonts w:hint="eastAsia"/>
          <w:lang w:val="en-US" w:eastAsia="zh-CN"/>
        </w:rPr>
      </w:pPr>
      <w:r>
        <w:rPr>
          <w:rFonts w:hint="eastAsia"/>
          <w:lang w:val="en-US" w:eastAsia="zh-CN"/>
        </w:rPr>
        <w:t>（1）公开免费查阅。标准发布后，在中国海洋学会官方网站上全文公布，供社会免费查阅。</w:t>
      </w:r>
    </w:p>
    <w:p w14:paraId="34CD1CA8">
      <w:pPr>
        <w:ind w:firstLine="560"/>
        <w:rPr>
          <w:rFonts w:hint="eastAsia"/>
          <w:lang w:val="en-US" w:eastAsia="zh-CN"/>
        </w:rPr>
      </w:pPr>
      <w:r>
        <w:rPr>
          <w:rFonts w:hint="eastAsia"/>
          <w:lang w:val="en-US" w:eastAsia="zh-CN"/>
        </w:rPr>
        <w:t>（2）完善标准管理。及时跟踪标准实施情况，收集反馈意见，建立动态修订机制，及时发现问题并采取纠正措施。对于在执行过程中发现的新技术、新设备、新方法，按程序进行补充或修订，保持标准的前瞻性与实用性。</w:t>
      </w:r>
    </w:p>
    <w:p w14:paraId="1C5F23E1">
      <w:pPr>
        <w:ind w:firstLine="560"/>
        <w:rPr>
          <w:rFonts w:hint="eastAsia"/>
          <w:lang w:val="en-US" w:eastAsia="zh-CN"/>
        </w:rPr>
      </w:pPr>
      <w:r>
        <w:rPr>
          <w:rFonts w:hint="eastAsia"/>
          <w:lang w:val="en-US" w:eastAsia="zh-CN"/>
        </w:rPr>
        <w:t>（3）强化技术培训与能力建设。针对海洋调查单位的质量负责人、分析人员及相关技术人员，开展海洋底质调查质量控制技术培训，重点讲解质量控制点的设置与实施方法、各环节质控要求和操作规范，使得基层技术人员能够准确理解并掌握标准操作要求。</w:t>
      </w:r>
    </w:p>
    <w:p w14:paraId="138F85EF">
      <w:pPr>
        <w:ind w:firstLine="560"/>
        <w:rPr>
          <w:rFonts w:hint="eastAsia"/>
          <w:lang w:val="en-US" w:eastAsia="zh-CN"/>
        </w:rPr>
      </w:pPr>
      <w:r>
        <w:rPr>
          <w:rFonts w:hint="eastAsia"/>
          <w:lang w:val="en-US" w:eastAsia="zh-CN"/>
        </w:rPr>
        <w:t>（4）推进技术装备与信息化应用。鼓励使用新型监测方法和新型仪器设备，同时建立相应的质控要求。推广海洋底质调查数据质量信息系统，实现对数据审核、成果验收等环节的动态跟踪与数据管理。</w:t>
      </w:r>
    </w:p>
    <w:p w14:paraId="1D41C77D">
      <w:pPr>
        <w:pStyle w:val="3"/>
        <w:spacing w:before="240" w:after="120"/>
      </w:pPr>
      <w:r>
        <w:rPr>
          <w:rFonts w:ascii="黑体" w:hAnsi="黑体" w:eastAsia="黑体"/>
          <w:b/>
          <w:bCs/>
          <w:sz w:val="28"/>
          <w:szCs w:val="28"/>
        </w:rPr>
        <w:t>（三）过渡办法</w:t>
      </w:r>
    </w:p>
    <w:p w14:paraId="12C5435E">
      <w:pPr>
        <w:ind w:firstLine="560"/>
        <w:rPr>
          <w:rFonts w:hint="eastAsia"/>
          <w:lang w:val="en-US" w:eastAsia="zh-CN"/>
        </w:rPr>
      </w:pPr>
      <w:r>
        <w:rPr>
          <w:rFonts w:hint="eastAsia"/>
          <w:lang w:val="en-US" w:eastAsia="zh-CN"/>
        </w:rPr>
        <w:t>标准发布后，设置合理的过渡实施期。在过渡期内，各调查单位可根据自身情况逐步按标准要求调整质控流程和操作规范。编写组将在过渡期内提供技术咨询服务，协助各单位理解并落实标准要求。对于新型设备和新方法的质控要求，编写组将根据调研结果适时补充完善。</w:t>
      </w:r>
    </w:p>
    <w:p w14:paraId="07D6CE18">
      <w:pPr>
        <w:pStyle w:val="2"/>
        <w:rPr>
          <w:rFonts w:hint="eastAsia"/>
        </w:rPr>
      </w:pPr>
      <w:r>
        <w:rPr>
          <w:rFonts w:hint="eastAsia"/>
        </w:rPr>
        <w:t>十、</w:t>
      </w:r>
      <w:r>
        <w:t>其它应当说明的事项</w:t>
      </w:r>
      <w:bookmarkEnd w:id="15"/>
    </w:p>
    <w:p w14:paraId="12467C4D">
      <w:pPr>
        <w:ind w:firstLine="560"/>
        <w:rPr>
          <w:rFonts w:hint="eastAsia"/>
          <w:lang w:val="en-US" w:eastAsia="zh-CN"/>
        </w:rPr>
      </w:pPr>
      <w:r>
        <w:rPr>
          <w:rFonts w:hint="eastAsia"/>
          <w:lang w:val="en-US" w:eastAsia="zh-CN"/>
        </w:rPr>
        <w:t>无其它予以说明的事项。</w:t>
      </w:r>
    </w:p>
    <w:p w14:paraId="04CC7A5A">
      <w:pPr>
        <w:ind w:firstLine="560"/>
        <w:rPr>
          <w:rFonts w:hint="eastAsia"/>
        </w:rPr>
      </w:pPr>
    </w:p>
    <w:sectPr>
      <w:footerReference r:id="rId11"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9154046-6DEE-4201-B80E-C2F50B0CB4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AF56408-4FD1-4B8C-8AE2-60F38809ECEB}"/>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A3ADC">
    <w:pPr>
      <w:pStyle w:val="7"/>
      <w:ind w:firstLine="360"/>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037303">
    <w:pPr>
      <w:pStyle w:val="7"/>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79285">
    <w:pPr>
      <w:pStyle w:val="7"/>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22710871"/>
      <w:docPartObj>
        <w:docPartGallery w:val="autotext"/>
      </w:docPartObj>
    </w:sdtPr>
    <w:sdtContent>
      <w:p w14:paraId="126D8304">
        <w:pPr>
          <w:pStyle w:val="7"/>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560"/>
      </w:pPr>
      <w:r>
        <w:separator/>
      </w:r>
    </w:p>
  </w:footnote>
  <w:footnote w:type="continuationSeparator" w:id="1">
    <w:p>
      <w:pPr>
        <w:spacing w:line="30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4FE4E">
    <w:pPr>
      <w:pStyle w:val="8"/>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DF84F">
    <w:pPr>
      <w:pStyle w:val="8"/>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1B868">
    <w:pPr>
      <w:pStyle w:val="8"/>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jMWJmNWY0ZjEzYTFkZWU5MWY4ZTJhOTc5ZDY3YjUifQ=="/>
  </w:docVars>
  <w:rsids>
    <w:rsidRoot w:val="738B4B85"/>
    <w:rsid w:val="00002527"/>
    <w:rsid w:val="00004992"/>
    <w:rsid w:val="000529D3"/>
    <w:rsid w:val="00071BF0"/>
    <w:rsid w:val="0009528E"/>
    <w:rsid w:val="001060BE"/>
    <w:rsid w:val="0015489A"/>
    <w:rsid w:val="001763E9"/>
    <w:rsid w:val="00237025"/>
    <w:rsid w:val="00242D74"/>
    <w:rsid w:val="00257F3E"/>
    <w:rsid w:val="00260049"/>
    <w:rsid w:val="002632E5"/>
    <w:rsid w:val="0026439E"/>
    <w:rsid w:val="002665C7"/>
    <w:rsid w:val="00270B35"/>
    <w:rsid w:val="00281DDD"/>
    <w:rsid w:val="002960E8"/>
    <w:rsid w:val="002B31D8"/>
    <w:rsid w:val="002D2100"/>
    <w:rsid w:val="002E4933"/>
    <w:rsid w:val="002E7FFD"/>
    <w:rsid w:val="0031173E"/>
    <w:rsid w:val="003125E5"/>
    <w:rsid w:val="00313D5A"/>
    <w:rsid w:val="003545EC"/>
    <w:rsid w:val="00394F71"/>
    <w:rsid w:val="003D1A37"/>
    <w:rsid w:val="003E6126"/>
    <w:rsid w:val="003F1E39"/>
    <w:rsid w:val="003F26D9"/>
    <w:rsid w:val="004152BC"/>
    <w:rsid w:val="0041614A"/>
    <w:rsid w:val="00421DDF"/>
    <w:rsid w:val="00426F89"/>
    <w:rsid w:val="004453AD"/>
    <w:rsid w:val="004476E6"/>
    <w:rsid w:val="00472FD5"/>
    <w:rsid w:val="00493134"/>
    <w:rsid w:val="004C2C3E"/>
    <w:rsid w:val="004D384B"/>
    <w:rsid w:val="004D4505"/>
    <w:rsid w:val="0050432E"/>
    <w:rsid w:val="00517D08"/>
    <w:rsid w:val="00522B51"/>
    <w:rsid w:val="00537F8C"/>
    <w:rsid w:val="00567023"/>
    <w:rsid w:val="00586A79"/>
    <w:rsid w:val="00595BC2"/>
    <w:rsid w:val="005B23B6"/>
    <w:rsid w:val="005C58A0"/>
    <w:rsid w:val="005F4BAC"/>
    <w:rsid w:val="00606065"/>
    <w:rsid w:val="0061043D"/>
    <w:rsid w:val="00611AD1"/>
    <w:rsid w:val="006A3B94"/>
    <w:rsid w:val="006D0464"/>
    <w:rsid w:val="00700BCC"/>
    <w:rsid w:val="00706492"/>
    <w:rsid w:val="00713CDD"/>
    <w:rsid w:val="0072145D"/>
    <w:rsid w:val="00727E34"/>
    <w:rsid w:val="00743689"/>
    <w:rsid w:val="007507BB"/>
    <w:rsid w:val="007C783A"/>
    <w:rsid w:val="007D5626"/>
    <w:rsid w:val="00802EFE"/>
    <w:rsid w:val="0081460D"/>
    <w:rsid w:val="00821C19"/>
    <w:rsid w:val="00834215"/>
    <w:rsid w:val="008553E2"/>
    <w:rsid w:val="008A69F3"/>
    <w:rsid w:val="008A6F03"/>
    <w:rsid w:val="008B44E5"/>
    <w:rsid w:val="008B4A49"/>
    <w:rsid w:val="008B7B5C"/>
    <w:rsid w:val="008F1DE8"/>
    <w:rsid w:val="008F7E7D"/>
    <w:rsid w:val="00981E3A"/>
    <w:rsid w:val="009F46F3"/>
    <w:rsid w:val="009F6703"/>
    <w:rsid w:val="00A54753"/>
    <w:rsid w:val="00A77BC5"/>
    <w:rsid w:val="00A813B9"/>
    <w:rsid w:val="00A92838"/>
    <w:rsid w:val="00AA453D"/>
    <w:rsid w:val="00AC1803"/>
    <w:rsid w:val="00AE7513"/>
    <w:rsid w:val="00B06E18"/>
    <w:rsid w:val="00B257D4"/>
    <w:rsid w:val="00B301D7"/>
    <w:rsid w:val="00B7541F"/>
    <w:rsid w:val="00BC173F"/>
    <w:rsid w:val="00BD2132"/>
    <w:rsid w:val="00BD2E94"/>
    <w:rsid w:val="00BE4FD7"/>
    <w:rsid w:val="00CA2198"/>
    <w:rsid w:val="00CC76E9"/>
    <w:rsid w:val="00D061FB"/>
    <w:rsid w:val="00D77D0F"/>
    <w:rsid w:val="00D93BAD"/>
    <w:rsid w:val="00DE02AA"/>
    <w:rsid w:val="00DE5C15"/>
    <w:rsid w:val="00DF6796"/>
    <w:rsid w:val="00E23807"/>
    <w:rsid w:val="00E31BF6"/>
    <w:rsid w:val="00E70A15"/>
    <w:rsid w:val="00E870A8"/>
    <w:rsid w:val="00E905B3"/>
    <w:rsid w:val="00E94521"/>
    <w:rsid w:val="00EB0F0B"/>
    <w:rsid w:val="00EC63FA"/>
    <w:rsid w:val="00ED01C7"/>
    <w:rsid w:val="00F135B1"/>
    <w:rsid w:val="00F65700"/>
    <w:rsid w:val="00F76BFD"/>
    <w:rsid w:val="00F82DE4"/>
    <w:rsid w:val="00F91081"/>
    <w:rsid w:val="00FB43DA"/>
    <w:rsid w:val="00FE1963"/>
    <w:rsid w:val="00FF3C5D"/>
    <w:rsid w:val="01406FC1"/>
    <w:rsid w:val="0402799B"/>
    <w:rsid w:val="0BF50160"/>
    <w:rsid w:val="0F5F530F"/>
    <w:rsid w:val="12362335"/>
    <w:rsid w:val="13433A38"/>
    <w:rsid w:val="135D4BEE"/>
    <w:rsid w:val="14742A65"/>
    <w:rsid w:val="15720408"/>
    <w:rsid w:val="16412ACD"/>
    <w:rsid w:val="16CF24D4"/>
    <w:rsid w:val="197B2492"/>
    <w:rsid w:val="1A1104E0"/>
    <w:rsid w:val="1AA50C28"/>
    <w:rsid w:val="1BF51423"/>
    <w:rsid w:val="1C906149"/>
    <w:rsid w:val="25976A91"/>
    <w:rsid w:val="281D44F4"/>
    <w:rsid w:val="32B171C5"/>
    <w:rsid w:val="352929B7"/>
    <w:rsid w:val="378E2BA3"/>
    <w:rsid w:val="3B6A375A"/>
    <w:rsid w:val="3BAC7BF6"/>
    <w:rsid w:val="3D663F5E"/>
    <w:rsid w:val="3E8A71D6"/>
    <w:rsid w:val="3FDA11F0"/>
    <w:rsid w:val="466229CE"/>
    <w:rsid w:val="48407B8F"/>
    <w:rsid w:val="4DE60D60"/>
    <w:rsid w:val="4FBE2675"/>
    <w:rsid w:val="558F536E"/>
    <w:rsid w:val="63B662F5"/>
    <w:rsid w:val="6A9D6AE3"/>
    <w:rsid w:val="6BC333DB"/>
    <w:rsid w:val="6C865790"/>
    <w:rsid w:val="6DCA3AFA"/>
    <w:rsid w:val="6F737F6D"/>
    <w:rsid w:val="738B4B85"/>
    <w:rsid w:val="798714CC"/>
    <w:rsid w:val="7AA27E91"/>
    <w:rsid w:val="7FCE6F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00" w:lineRule="auto"/>
      <w:ind w:firstLine="480" w:firstLineChars="200"/>
    </w:pPr>
    <w:rPr>
      <w:rFonts w:cs="宋体" w:asciiTheme="minorEastAsia" w:hAnsiTheme="minorEastAsia" w:eastAsiaTheme="minorEastAsia"/>
      <w:sz w:val="28"/>
      <w:szCs w:val="24"/>
      <w:lang w:val="en-US" w:eastAsia="zh-CN" w:bidi="ar-SA"/>
    </w:rPr>
  </w:style>
  <w:style w:type="paragraph" w:styleId="2">
    <w:name w:val="heading 1"/>
    <w:basedOn w:val="1"/>
    <w:next w:val="1"/>
    <w:autoRedefine/>
    <w:qFormat/>
    <w:uiPriority w:val="0"/>
    <w:pPr>
      <w:keepNext/>
      <w:keepLines/>
      <w:spacing w:before="340" w:after="330" w:line="360" w:lineRule="auto"/>
      <w:ind w:firstLine="0" w:firstLineChars="0"/>
      <w:outlineLvl w:val="0"/>
    </w:pPr>
    <w:rPr>
      <w:b/>
      <w:bCs/>
      <w:kern w:val="44"/>
      <w:sz w:val="30"/>
      <w:szCs w:val="44"/>
    </w:rPr>
  </w:style>
  <w:style w:type="paragraph" w:styleId="3">
    <w:name w:val="heading 2"/>
    <w:basedOn w:val="1"/>
    <w:next w:val="1"/>
    <w:link w:val="25"/>
    <w:unhideWhenUsed/>
    <w:qFormat/>
    <w:uiPriority w:val="0"/>
    <w:pPr>
      <w:keepNext/>
      <w:keepLines/>
      <w:spacing w:before="260" w:after="260" w:line="360" w:lineRule="auto"/>
      <w:ind w:firstLine="0" w:firstLineChars="0"/>
      <w:outlineLvl w:val="1"/>
    </w:pPr>
    <w:rPr>
      <w:rFonts w:asciiTheme="majorHAnsi" w:hAnsiTheme="majorHAnsi" w:eastAsiaTheme="majorEastAsia" w:cstheme="majorBidi"/>
      <w:b/>
      <w:bCs/>
      <w:szCs w:val="32"/>
    </w:rPr>
  </w:style>
  <w:style w:type="paragraph" w:styleId="4">
    <w:name w:val="heading 3"/>
    <w:basedOn w:val="1"/>
    <w:next w:val="1"/>
    <w:link w:val="28"/>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21"/>
    <w:semiHidden/>
    <w:unhideWhenUsed/>
    <w:qFormat/>
    <w:uiPriority w:val="0"/>
    <w:pPr>
      <w:keepNext/>
      <w:keepLines/>
      <w:spacing w:before="280" w:after="290" w:line="376" w:lineRule="atLeast"/>
      <w:outlineLvl w:val="3"/>
    </w:pPr>
    <w:rPr>
      <w:rFonts w:asciiTheme="majorHAnsi" w:hAnsiTheme="majorHAnsi" w:eastAsiaTheme="majorEastAsia" w:cstheme="majorBidi"/>
      <w:b/>
      <w:bCs/>
      <w:szCs w:val="28"/>
    </w:rPr>
  </w:style>
  <w:style w:type="character" w:default="1" w:styleId="13">
    <w:name w:val="Default Paragraph Font"/>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style>
  <w:style w:type="paragraph" w:styleId="7">
    <w:name w:val="footer"/>
    <w:basedOn w:val="1"/>
    <w:link w:val="19"/>
    <w:qFormat/>
    <w:uiPriority w:val="99"/>
    <w:pPr>
      <w:tabs>
        <w:tab w:val="center" w:pos="4153"/>
        <w:tab w:val="right" w:pos="8306"/>
      </w:tabs>
      <w:snapToGrid w:val="0"/>
    </w:pPr>
    <w:rPr>
      <w:sz w:val="18"/>
      <w:szCs w:val="18"/>
    </w:rPr>
  </w:style>
  <w:style w:type="paragraph" w:styleId="8">
    <w:name w:val="header"/>
    <w:basedOn w:val="1"/>
    <w:link w:val="18"/>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qFormat/>
    <w:uiPriority w:val="39"/>
    <w:pPr>
      <w:tabs>
        <w:tab w:val="right" w:leader="dot" w:pos="8296"/>
      </w:tabs>
      <w:spacing w:line="240" w:lineRule="auto"/>
      <w:ind w:firstLine="560"/>
    </w:pPr>
  </w:style>
  <w:style w:type="paragraph" w:styleId="10">
    <w:name w:val="toc 2"/>
    <w:basedOn w:val="1"/>
    <w:next w:val="1"/>
    <w:autoRedefine/>
    <w:qFormat/>
    <w:uiPriority w:val="39"/>
    <w:pPr>
      <w:ind w:left="420" w:leftChars="200"/>
    </w:pPr>
  </w:style>
  <w:style w:type="paragraph" w:styleId="11">
    <w:name w:val="Normal (Web)"/>
    <w:basedOn w:val="1"/>
    <w:autoRedefine/>
    <w:qFormat/>
    <w:uiPriority w:val="99"/>
    <w:pPr>
      <w:spacing w:beforeAutospacing="1" w:afterAutospacing="1"/>
    </w:pPr>
    <w:rPr>
      <w:rFonts w:cs="Times New Roman"/>
      <w:sz w:val="24"/>
    </w:rPr>
  </w:style>
  <w:style w:type="character" w:styleId="14">
    <w:name w:val="Hyperlink"/>
    <w:basedOn w:val="13"/>
    <w:unhideWhenUsed/>
    <w:qFormat/>
    <w:uiPriority w:val="99"/>
    <w:rPr>
      <w:color w:val="0026E5" w:themeColor="hyperlink"/>
      <w:u w:val="single"/>
      <w14:textFill>
        <w14:solidFill>
          <w14:schemeClr w14:val="hlink"/>
        </w14:solidFill>
      </w14:textFill>
    </w:rPr>
  </w:style>
  <w:style w:type="character" w:styleId="15">
    <w:name w:val="annotation reference"/>
    <w:basedOn w:val="13"/>
    <w:qFormat/>
    <w:uiPriority w:val="0"/>
    <w:rPr>
      <w:sz w:val="21"/>
      <w:szCs w:val="21"/>
    </w:rPr>
  </w:style>
  <w:style w:type="paragraph" w:customStyle="1" w:styleId="16">
    <w:name w:val="Char"/>
    <w:autoRedefine/>
    <w:qFormat/>
    <w:uiPriority w:val="0"/>
    <w:pPr>
      <w:widowControl w:val="0"/>
      <w:adjustRightInd w:val="0"/>
      <w:snapToGrid w:val="0"/>
      <w:spacing w:beforeLines="150" w:afterLines="100" w:line="360" w:lineRule="auto"/>
      <w:ind w:firstLine="192" w:firstLineChars="192"/>
      <w:jc w:val="both"/>
    </w:pPr>
    <w:rPr>
      <w:rFonts w:ascii="Times New Roman" w:hAnsi="Times New Roman" w:eastAsia="仿宋_GB2312" w:cs="Times New Roman"/>
      <w:kern w:val="2"/>
      <w:sz w:val="32"/>
      <w:szCs w:val="32"/>
      <w:lang w:val="en-US" w:eastAsia="zh-CN" w:bidi="ar-SA"/>
    </w:rPr>
  </w:style>
  <w:style w:type="paragraph" w:customStyle="1" w:styleId="17">
    <w:name w:val="标准文件_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18">
    <w:name w:val="页眉 字符"/>
    <w:basedOn w:val="13"/>
    <w:link w:val="8"/>
    <w:qFormat/>
    <w:uiPriority w:val="0"/>
    <w:rPr>
      <w:rFonts w:ascii="Calibri" w:hAnsi="Calibri" w:cs="Arial"/>
      <w:kern w:val="2"/>
      <w:sz w:val="18"/>
      <w:szCs w:val="18"/>
    </w:rPr>
  </w:style>
  <w:style w:type="character" w:customStyle="1" w:styleId="19">
    <w:name w:val="页脚 字符"/>
    <w:basedOn w:val="13"/>
    <w:link w:val="7"/>
    <w:qFormat/>
    <w:uiPriority w:val="99"/>
    <w:rPr>
      <w:rFonts w:ascii="Calibri" w:hAnsi="Calibri" w:cs="Arial"/>
      <w:kern w:val="2"/>
      <w:sz w:val="18"/>
      <w:szCs w:val="18"/>
    </w:rPr>
  </w:style>
  <w:style w:type="paragraph" w:styleId="20">
    <w:name w:val="List Paragraph"/>
    <w:basedOn w:val="1"/>
    <w:unhideWhenUsed/>
    <w:qFormat/>
    <w:uiPriority w:val="99"/>
    <w:pPr>
      <w:ind w:firstLine="420"/>
    </w:pPr>
  </w:style>
  <w:style w:type="character" w:customStyle="1" w:styleId="21">
    <w:name w:val="标题 4 字符"/>
    <w:basedOn w:val="13"/>
    <w:link w:val="5"/>
    <w:semiHidden/>
    <w:qFormat/>
    <w:uiPriority w:val="0"/>
    <w:rPr>
      <w:rFonts w:asciiTheme="majorHAnsi" w:hAnsiTheme="majorHAnsi" w:eastAsiaTheme="majorEastAsia" w:cstheme="majorBidi"/>
      <w:b/>
      <w:bCs/>
      <w:sz w:val="28"/>
      <w:szCs w:val="28"/>
    </w:rPr>
  </w:style>
  <w:style w:type="paragraph" w:customStyle="1" w:styleId="22">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23">
    <w:name w:val="其他发布部门"/>
    <w:basedOn w:val="1"/>
    <w:qFormat/>
    <w:uiPriority w:val="0"/>
    <w:pPr>
      <w:framePr w:w="7433" w:h="585" w:hRule="exact" w:hSpace="180" w:vSpace="180" w:wrap="around" w:vAnchor="margin" w:hAnchor="margin" w:xAlign="center" w:y="14401" w:anchorLock="1"/>
      <w:widowControl/>
      <w:spacing w:line="0" w:lineRule="atLeast"/>
      <w:ind w:firstLine="0" w:firstLineChars="0"/>
      <w:jc w:val="center"/>
    </w:pPr>
    <w:rPr>
      <w:rFonts w:ascii="黑体" w:hAnsi="Times New Roman" w:eastAsia="黑体" w:cs="Times New Roman"/>
      <w:w w:val="135"/>
      <w:sz w:val="36"/>
      <w:szCs w:val="20"/>
    </w:rPr>
  </w:style>
  <w:style w:type="character" w:customStyle="1" w:styleId="24">
    <w:name w:val="发布"/>
    <w:basedOn w:val="13"/>
    <w:qFormat/>
    <w:uiPriority w:val="0"/>
    <w:rPr>
      <w:rFonts w:ascii="黑体" w:eastAsia="黑体"/>
      <w:spacing w:val="85"/>
      <w:w w:val="100"/>
      <w:position w:val="3"/>
      <w:sz w:val="28"/>
      <w:szCs w:val="28"/>
    </w:rPr>
  </w:style>
  <w:style w:type="character" w:customStyle="1" w:styleId="25">
    <w:name w:val="标题 2 字符"/>
    <w:basedOn w:val="13"/>
    <w:link w:val="3"/>
    <w:qFormat/>
    <w:uiPriority w:val="0"/>
    <w:rPr>
      <w:rFonts w:asciiTheme="majorHAnsi" w:hAnsiTheme="majorHAnsi" w:eastAsiaTheme="majorEastAsia" w:cstheme="majorBidi"/>
      <w:b/>
      <w:bCs/>
      <w:sz w:val="28"/>
      <w:szCs w:val="32"/>
    </w:rPr>
  </w:style>
  <w:style w:type="paragraph" w:customStyle="1" w:styleId="26">
    <w:name w:val="TOC Heading"/>
    <w:basedOn w:val="2"/>
    <w:next w:val="1"/>
    <w:unhideWhenUsed/>
    <w:qFormat/>
    <w:uiPriority w:val="39"/>
    <w:pPr>
      <w:widowControl/>
      <w:spacing w:before="240" w:after="0" w:line="259" w:lineRule="auto"/>
      <w:outlineLvl w:val="9"/>
    </w:pPr>
    <w:rPr>
      <w:rFonts w:asciiTheme="majorHAnsi" w:hAnsiTheme="majorHAnsi" w:eastAsiaTheme="majorEastAsia" w:cstheme="majorBidi"/>
      <w:b w:val="0"/>
      <w:bCs w:val="0"/>
      <w:color w:val="2E54A1" w:themeColor="accent1" w:themeShade="BF"/>
      <w:kern w:val="0"/>
      <w:sz w:val="32"/>
      <w:szCs w:val="32"/>
    </w:rPr>
  </w:style>
  <w:style w:type="paragraph" w:customStyle="1" w:styleId="27">
    <w:name w:val="Revision"/>
    <w:hidden/>
    <w:unhideWhenUsed/>
    <w:qFormat/>
    <w:uiPriority w:val="99"/>
    <w:rPr>
      <w:rFonts w:cs="宋体" w:asciiTheme="minorEastAsia" w:hAnsiTheme="minorEastAsia" w:eastAsiaTheme="minorEastAsia"/>
      <w:sz w:val="28"/>
      <w:szCs w:val="24"/>
      <w:lang w:val="en-US" w:eastAsia="zh-CN" w:bidi="ar-SA"/>
    </w:rPr>
  </w:style>
  <w:style w:type="character" w:customStyle="1" w:styleId="28">
    <w:name w:val="标题 3 字符"/>
    <w:basedOn w:val="13"/>
    <w:link w:val="4"/>
    <w:semiHidden/>
    <w:qFormat/>
    <w:uiPriority w:val="0"/>
    <w:rPr>
      <w:rFonts w:cs="宋体" w:asciiTheme="minorEastAsia" w:hAnsiTheme="minorEastAsia" w:eastAsiaTheme="minorEastAsia"/>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DFC41E-E966-40A6-BA31-5F8773D0FDCB}">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21</Pages>
  <Words>9526</Words>
  <Characters>9668</Characters>
  <Lines>86</Lines>
  <Paragraphs>24</Paragraphs>
  <TotalTime>3</TotalTime>
  <ScaleCrop>false</ScaleCrop>
  <LinksUpToDate>false</LinksUpToDate>
  <CharactersWithSpaces>9768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2025-11-09T06:45:00Z</dcterms:created>
  <dc:creator>_xrz</dc:creator>
  <cp:lastModifiedBy>王颖</cp:lastModifiedBy>
  <dcterms:modified xsi:type="dcterms:W3CDTF">2026-09-30T03:35:45Z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2D16A0025AED4DE0847FA9E2FED27DBE_13</vt:lpwstr>
  </property>
  <property fmtid="{D5CDD505-2E9C-101B-9397-08002B2CF9AE}" pid="4" name="KSOTemplateDocerSaveRecord">
    <vt:lpwstr>eyJoZGlkIjoiNzM0MGY2OGIyNjE5MWM0YmMwOTM2ZjBhZTBkOTcxMzciLCJ1c2VySWQiOiIxNzg0ODMyODgxIn0=</vt:lpwstr>
  </property>
</Properties>
</file>