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B585" w14:textId="77777777" w:rsidR="006651EC" w:rsidRDefault="006651EC">
      <w:pPr>
        <w:ind w:firstLine="480"/>
      </w:pPr>
    </w:p>
    <w:p w14:paraId="57706C02" w14:textId="77777777" w:rsidR="006651EC" w:rsidRDefault="006651EC">
      <w:pPr>
        <w:ind w:firstLine="480"/>
      </w:pPr>
    </w:p>
    <w:p w14:paraId="0EEC6784" w14:textId="77777777" w:rsidR="006651EC" w:rsidRDefault="006651EC">
      <w:pPr>
        <w:ind w:firstLine="480"/>
      </w:pPr>
    </w:p>
    <w:p w14:paraId="1E4BDDD1" w14:textId="77777777" w:rsidR="006651EC" w:rsidRDefault="006651EC">
      <w:pPr>
        <w:autoSpaceDE w:val="0"/>
        <w:autoSpaceDN w:val="0"/>
        <w:adjustRightInd w:val="0"/>
        <w:ind w:firstLine="1040"/>
        <w:rPr>
          <w:rFonts w:eastAsia="方正小标宋简体"/>
          <w:kern w:val="0"/>
          <w:sz w:val="52"/>
          <w:szCs w:val="52"/>
        </w:rPr>
      </w:pPr>
    </w:p>
    <w:p w14:paraId="5F894A81" w14:textId="23E774A8" w:rsidR="006651EC" w:rsidRDefault="002D5D0E" w:rsidP="002D4865">
      <w:pPr>
        <w:autoSpaceDE w:val="0"/>
        <w:autoSpaceDN w:val="0"/>
        <w:adjustRightInd w:val="0"/>
        <w:ind w:firstLineChars="0" w:firstLine="0"/>
        <w:jc w:val="center"/>
        <w:rPr>
          <w:rFonts w:eastAsia="方正小标宋简体"/>
          <w:kern w:val="0"/>
          <w:sz w:val="52"/>
          <w:szCs w:val="52"/>
        </w:rPr>
      </w:pPr>
      <w:r>
        <w:rPr>
          <w:rFonts w:ascii="方正小标宋简体" w:eastAsia="方正小标宋简体" w:hAnsi="方正小标宋简体" w:cs="方正小标宋简体" w:hint="eastAsia"/>
          <w:kern w:val="0"/>
          <w:sz w:val="52"/>
          <w:szCs w:val="52"/>
        </w:rPr>
        <w:t>入海河口生态清淤评估技术规程</w:t>
      </w:r>
    </w:p>
    <w:p w14:paraId="30FC1DD1" w14:textId="77777777" w:rsidR="006651EC" w:rsidRDefault="006651EC">
      <w:pPr>
        <w:ind w:firstLine="880"/>
        <w:jc w:val="center"/>
        <w:rPr>
          <w:rFonts w:eastAsia="方正小标宋简体"/>
          <w:sz w:val="44"/>
          <w:szCs w:val="44"/>
        </w:rPr>
      </w:pPr>
    </w:p>
    <w:p w14:paraId="5310A46E" w14:textId="77777777" w:rsidR="006651EC" w:rsidRDefault="006651EC">
      <w:pPr>
        <w:ind w:firstLine="880"/>
        <w:rPr>
          <w:rFonts w:eastAsia="方正小标宋简体"/>
          <w:sz w:val="44"/>
          <w:szCs w:val="44"/>
        </w:rPr>
      </w:pPr>
    </w:p>
    <w:p w14:paraId="4080F111" w14:textId="77777777" w:rsidR="006651EC" w:rsidRDefault="002D5D0E" w:rsidP="002D4865">
      <w:pPr>
        <w:ind w:firstLineChars="0" w:firstLine="0"/>
        <w:jc w:val="center"/>
        <w:rPr>
          <w:rFonts w:eastAsia="方正小标宋简体"/>
          <w:sz w:val="44"/>
          <w:szCs w:val="44"/>
        </w:rPr>
      </w:pPr>
      <w:r>
        <w:rPr>
          <w:rFonts w:eastAsia="方正小标宋简体"/>
          <w:sz w:val="44"/>
          <w:szCs w:val="44"/>
        </w:rPr>
        <w:t>编制说明</w:t>
      </w:r>
    </w:p>
    <w:p w14:paraId="2DAD029A" w14:textId="77777777" w:rsidR="006651EC" w:rsidRDefault="002D5D0E" w:rsidP="002D4865">
      <w:pPr>
        <w:ind w:firstLineChars="0" w:firstLine="0"/>
        <w:jc w:val="center"/>
        <w:rPr>
          <w:rFonts w:eastAsia="方正小标宋简体"/>
          <w:sz w:val="44"/>
          <w:szCs w:val="44"/>
        </w:rPr>
      </w:pPr>
      <w:r>
        <w:rPr>
          <w:rFonts w:eastAsia="方正小标宋简体"/>
          <w:sz w:val="44"/>
          <w:szCs w:val="44"/>
        </w:rPr>
        <w:t>（征求意见稿）</w:t>
      </w:r>
    </w:p>
    <w:p w14:paraId="61499739" w14:textId="77777777" w:rsidR="006651EC" w:rsidRDefault="006651EC">
      <w:pPr>
        <w:ind w:firstLine="883"/>
        <w:jc w:val="center"/>
        <w:rPr>
          <w:b/>
          <w:sz w:val="44"/>
          <w:szCs w:val="44"/>
        </w:rPr>
      </w:pPr>
    </w:p>
    <w:p w14:paraId="257C4DB7" w14:textId="77777777" w:rsidR="006651EC" w:rsidRDefault="006651EC">
      <w:pPr>
        <w:ind w:firstLine="883"/>
        <w:jc w:val="center"/>
        <w:rPr>
          <w:b/>
          <w:sz w:val="44"/>
          <w:szCs w:val="44"/>
        </w:rPr>
      </w:pPr>
    </w:p>
    <w:p w14:paraId="2CBE3C40" w14:textId="77777777" w:rsidR="006651EC" w:rsidRDefault="006651EC">
      <w:pPr>
        <w:ind w:firstLine="883"/>
        <w:jc w:val="center"/>
        <w:rPr>
          <w:b/>
          <w:sz w:val="44"/>
          <w:szCs w:val="44"/>
        </w:rPr>
      </w:pPr>
    </w:p>
    <w:p w14:paraId="191A3AC5" w14:textId="77777777" w:rsidR="006651EC" w:rsidRDefault="006651EC">
      <w:pPr>
        <w:ind w:firstLine="883"/>
        <w:jc w:val="center"/>
        <w:rPr>
          <w:b/>
          <w:sz w:val="44"/>
          <w:szCs w:val="44"/>
        </w:rPr>
      </w:pPr>
    </w:p>
    <w:p w14:paraId="1E4D510A" w14:textId="77777777" w:rsidR="006651EC" w:rsidRDefault="006651EC">
      <w:pPr>
        <w:ind w:firstLine="883"/>
        <w:jc w:val="center"/>
        <w:rPr>
          <w:b/>
          <w:sz w:val="44"/>
          <w:szCs w:val="44"/>
        </w:rPr>
      </w:pPr>
    </w:p>
    <w:p w14:paraId="172AAC53" w14:textId="77777777" w:rsidR="006651EC" w:rsidRDefault="006651EC">
      <w:pPr>
        <w:ind w:firstLine="883"/>
        <w:rPr>
          <w:b/>
          <w:sz w:val="44"/>
          <w:szCs w:val="44"/>
        </w:rPr>
      </w:pPr>
    </w:p>
    <w:p w14:paraId="5B21AEC3" w14:textId="77777777" w:rsidR="006651EC" w:rsidRDefault="006651EC">
      <w:pPr>
        <w:ind w:firstLine="883"/>
        <w:jc w:val="center"/>
        <w:rPr>
          <w:b/>
          <w:sz w:val="44"/>
          <w:szCs w:val="44"/>
        </w:rPr>
      </w:pPr>
    </w:p>
    <w:p w14:paraId="363A5B0A" w14:textId="77777777" w:rsidR="006651EC" w:rsidRDefault="006651EC">
      <w:pPr>
        <w:ind w:firstLine="720"/>
        <w:jc w:val="center"/>
        <w:rPr>
          <w:rFonts w:eastAsia="黑体"/>
          <w:kern w:val="0"/>
          <w:sz w:val="36"/>
          <w:szCs w:val="36"/>
        </w:rPr>
      </w:pPr>
    </w:p>
    <w:p w14:paraId="77C34D32" w14:textId="77777777" w:rsidR="006651EC" w:rsidRDefault="002D5D0E" w:rsidP="002D4865">
      <w:pPr>
        <w:ind w:firstLineChars="0" w:firstLine="0"/>
        <w:jc w:val="center"/>
        <w:rPr>
          <w:rFonts w:eastAsia="黑体"/>
          <w:kern w:val="0"/>
          <w:sz w:val="36"/>
          <w:szCs w:val="36"/>
        </w:rPr>
      </w:pPr>
      <w:r>
        <w:rPr>
          <w:rFonts w:eastAsia="黑体"/>
          <w:kern w:val="0"/>
          <w:sz w:val="36"/>
          <w:szCs w:val="36"/>
        </w:rPr>
        <w:t>浙江省水利河口研究院</w:t>
      </w:r>
    </w:p>
    <w:p w14:paraId="1A756AB5" w14:textId="77777777" w:rsidR="006651EC" w:rsidRDefault="002D5D0E" w:rsidP="002D4865">
      <w:pPr>
        <w:ind w:firstLineChars="0" w:firstLine="0"/>
        <w:jc w:val="center"/>
        <w:rPr>
          <w:rFonts w:eastAsia="黑体"/>
          <w:kern w:val="0"/>
          <w:sz w:val="36"/>
          <w:szCs w:val="36"/>
        </w:rPr>
      </w:pPr>
      <w:r>
        <w:rPr>
          <w:rFonts w:eastAsia="黑体"/>
          <w:kern w:val="0"/>
          <w:sz w:val="36"/>
          <w:szCs w:val="36"/>
        </w:rPr>
        <w:t>（浙江省海洋规划设计研究院）</w:t>
      </w:r>
    </w:p>
    <w:p w14:paraId="258B58D4" w14:textId="45B1992A" w:rsidR="006651EC" w:rsidRDefault="002D5D0E" w:rsidP="002D4865">
      <w:pPr>
        <w:ind w:firstLineChars="0" w:firstLine="0"/>
        <w:jc w:val="center"/>
        <w:rPr>
          <w:rFonts w:eastAsia="黑体"/>
          <w:kern w:val="0"/>
          <w:sz w:val="36"/>
          <w:szCs w:val="36"/>
        </w:rPr>
        <w:sectPr w:rsidR="006651E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Pr>
          <w:rFonts w:eastAsia="黑体"/>
          <w:kern w:val="0"/>
          <w:sz w:val="36"/>
          <w:szCs w:val="36"/>
        </w:rPr>
        <w:t>202</w:t>
      </w:r>
      <w:r>
        <w:rPr>
          <w:rFonts w:eastAsia="黑体" w:hint="eastAsia"/>
          <w:kern w:val="0"/>
          <w:sz w:val="36"/>
          <w:szCs w:val="36"/>
        </w:rPr>
        <w:t>6</w:t>
      </w:r>
      <w:r>
        <w:rPr>
          <w:rFonts w:eastAsia="黑体"/>
          <w:kern w:val="0"/>
          <w:sz w:val="36"/>
          <w:szCs w:val="36"/>
        </w:rPr>
        <w:t>年</w:t>
      </w:r>
      <w:r w:rsidR="002F1203">
        <w:rPr>
          <w:rFonts w:eastAsia="黑体" w:hint="eastAsia"/>
          <w:kern w:val="0"/>
          <w:sz w:val="36"/>
          <w:szCs w:val="36"/>
        </w:rPr>
        <w:t>9</w:t>
      </w:r>
      <w:r>
        <w:rPr>
          <w:rFonts w:eastAsia="黑体"/>
          <w:kern w:val="0"/>
          <w:sz w:val="36"/>
          <w:szCs w:val="36"/>
        </w:rPr>
        <w:t>月</w:t>
      </w:r>
    </w:p>
    <w:sdt>
      <w:sdtPr>
        <w:rPr>
          <w:rFonts w:ascii="黑体" w:eastAsia="黑体" w:hAnsi="黑体" w:cs="黑体" w:hint="eastAsia"/>
          <w:sz w:val="32"/>
          <w:szCs w:val="40"/>
        </w:rPr>
        <w:id w:val="147474477"/>
        <w15:color w:val="DBDBDB"/>
        <w:docPartObj>
          <w:docPartGallery w:val="Table of Contents"/>
          <w:docPartUnique/>
        </w:docPartObj>
      </w:sdtPr>
      <w:sdtEndPr>
        <w:rPr>
          <w:rFonts w:ascii="Times New Roman" w:hAnsi="Times New Roman" w:cs="Times New Roman" w:hint="default"/>
          <w:kern w:val="0"/>
          <w:sz w:val="24"/>
          <w:szCs w:val="36"/>
        </w:rPr>
      </w:sdtEndPr>
      <w:sdtContent>
        <w:p w14:paraId="6DDB83E5" w14:textId="77777777" w:rsidR="006651EC" w:rsidRDefault="002D5D0E">
          <w:pPr>
            <w:ind w:firstLine="640"/>
            <w:jc w:val="center"/>
            <w:rPr>
              <w:rFonts w:ascii="黑体" w:eastAsia="黑体" w:hAnsi="黑体" w:cs="黑体" w:hint="eastAsia"/>
              <w:sz w:val="32"/>
              <w:szCs w:val="40"/>
            </w:rPr>
          </w:pPr>
          <w:r>
            <w:rPr>
              <w:rFonts w:ascii="黑体" w:eastAsia="黑体" w:hAnsi="黑体" w:cs="黑体" w:hint="eastAsia"/>
              <w:sz w:val="32"/>
              <w:szCs w:val="40"/>
            </w:rPr>
            <w:t>目 录</w:t>
          </w:r>
        </w:p>
        <w:p w14:paraId="4B7A837D" w14:textId="4E31AAE6" w:rsidR="00266398" w:rsidRDefault="002D5D0E">
          <w:pPr>
            <w:pStyle w:val="TOC1"/>
            <w:tabs>
              <w:tab w:val="right" w:leader="dot" w:pos="8296"/>
            </w:tabs>
            <w:ind w:firstLine="480"/>
            <w:rPr>
              <w:rFonts w:asciiTheme="minorHAnsi" w:eastAsiaTheme="minorEastAsia" w:hAnsiTheme="minorHAnsi" w:cstheme="minorBidi"/>
              <w:noProof/>
              <w:sz w:val="22"/>
              <w14:ligatures w14:val="standardContextual"/>
            </w:rPr>
          </w:pPr>
          <w:r>
            <w:rPr>
              <w:rFonts w:eastAsia="黑体"/>
              <w:kern w:val="0"/>
              <w:szCs w:val="44"/>
            </w:rPr>
            <w:fldChar w:fldCharType="begin"/>
          </w:r>
          <w:r>
            <w:rPr>
              <w:rFonts w:eastAsia="黑体"/>
              <w:kern w:val="0"/>
              <w:szCs w:val="44"/>
            </w:rPr>
            <w:instrText xml:space="preserve">TOC \o "1-2" \h \u </w:instrText>
          </w:r>
          <w:r>
            <w:rPr>
              <w:rFonts w:eastAsia="黑体"/>
              <w:kern w:val="0"/>
              <w:szCs w:val="44"/>
            </w:rPr>
            <w:fldChar w:fldCharType="separate"/>
          </w:r>
          <w:hyperlink w:anchor="_Toc239001625" w:history="1">
            <w:r w:rsidR="00266398" w:rsidRPr="0067622E">
              <w:rPr>
                <w:rStyle w:val="ad"/>
                <w:noProof/>
              </w:rPr>
              <w:t>1</w:t>
            </w:r>
            <w:r w:rsidR="00266398" w:rsidRPr="0067622E">
              <w:rPr>
                <w:rStyle w:val="ad"/>
                <w:noProof/>
              </w:rPr>
              <w:t>制定标准的背景、目的和意义</w:t>
            </w:r>
            <w:r w:rsidR="00266398">
              <w:rPr>
                <w:rFonts w:hint="eastAsia"/>
                <w:noProof/>
              </w:rPr>
              <w:tab/>
            </w:r>
            <w:r w:rsidR="00266398">
              <w:rPr>
                <w:rFonts w:hint="eastAsia"/>
                <w:noProof/>
              </w:rPr>
              <w:fldChar w:fldCharType="begin"/>
            </w:r>
            <w:r w:rsidR="00266398">
              <w:rPr>
                <w:rFonts w:hint="eastAsia"/>
                <w:noProof/>
              </w:rPr>
              <w:instrText xml:space="preserve"> </w:instrText>
            </w:r>
            <w:r w:rsidR="00266398">
              <w:rPr>
                <w:noProof/>
              </w:rPr>
              <w:instrText>PAGEREF _Toc239001625 \h</w:instrText>
            </w:r>
            <w:r w:rsidR="00266398">
              <w:rPr>
                <w:rFonts w:hint="eastAsia"/>
                <w:noProof/>
              </w:rPr>
              <w:instrText xml:space="preserve"> </w:instrText>
            </w:r>
            <w:r w:rsidR="00266398">
              <w:rPr>
                <w:rFonts w:hint="eastAsia"/>
                <w:noProof/>
              </w:rPr>
            </w:r>
            <w:r w:rsidR="00266398">
              <w:rPr>
                <w:rFonts w:hint="eastAsia"/>
                <w:noProof/>
              </w:rPr>
              <w:fldChar w:fldCharType="separate"/>
            </w:r>
            <w:r w:rsidR="002F1203">
              <w:rPr>
                <w:noProof/>
              </w:rPr>
              <w:t>1</w:t>
            </w:r>
            <w:r w:rsidR="00266398">
              <w:rPr>
                <w:rFonts w:hint="eastAsia"/>
                <w:noProof/>
              </w:rPr>
              <w:fldChar w:fldCharType="end"/>
            </w:r>
          </w:hyperlink>
        </w:p>
        <w:p w14:paraId="36132B47" w14:textId="733347D5"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26" w:history="1">
            <w:r w:rsidRPr="0067622E">
              <w:rPr>
                <w:rStyle w:val="ad"/>
                <w:noProof/>
              </w:rPr>
              <w:t>1.1</w:t>
            </w:r>
            <w:r w:rsidRPr="0067622E">
              <w:rPr>
                <w:rStyle w:val="ad"/>
                <w:noProof/>
              </w:rPr>
              <w:t>制定背景</w:t>
            </w:r>
            <w:r>
              <w:rPr>
                <w:rFonts w:hint="eastAsia"/>
                <w:noProof/>
              </w:rPr>
              <w:tab/>
            </w:r>
            <w:r>
              <w:rPr>
                <w:rFonts w:hint="eastAsia"/>
                <w:noProof/>
              </w:rPr>
              <w:fldChar w:fldCharType="begin"/>
            </w:r>
            <w:r>
              <w:rPr>
                <w:rFonts w:hint="eastAsia"/>
                <w:noProof/>
              </w:rPr>
              <w:instrText xml:space="preserve"> </w:instrText>
            </w:r>
            <w:r>
              <w:rPr>
                <w:noProof/>
              </w:rPr>
              <w:instrText>PAGEREF _Toc239001626 \h</w:instrText>
            </w:r>
            <w:r>
              <w:rPr>
                <w:rFonts w:hint="eastAsia"/>
                <w:noProof/>
              </w:rPr>
              <w:instrText xml:space="preserve"> </w:instrText>
            </w:r>
            <w:r>
              <w:rPr>
                <w:rFonts w:hint="eastAsia"/>
                <w:noProof/>
              </w:rPr>
            </w:r>
            <w:r>
              <w:rPr>
                <w:rFonts w:hint="eastAsia"/>
                <w:noProof/>
              </w:rPr>
              <w:fldChar w:fldCharType="separate"/>
            </w:r>
            <w:r w:rsidR="002F1203">
              <w:rPr>
                <w:noProof/>
              </w:rPr>
              <w:t>1</w:t>
            </w:r>
            <w:r>
              <w:rPr>
                <w:rFonts w:hint="eastAsia"/>
                <w:noProof/>
              </w:rPr>
              <w:fldChar w:fldCharType="end"/>
            </w:r>
          </w:hyperlink>
        </w:p>
        <w:p w14:paraId="1870069B" w14:textId="7479EF50"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27" w:history="1">
            <w:r w:rsidRPr="0067622E">
              <w:rPr>
                <w:rStyle w:val="ad"/>
                <w:noProof/>
              </w:rPr>
              <w:t>1.2</w:t>
            </w:r>
            <w:r w:rsidRPr="0067622E">
              <w:rPr>
                <w:rStyle w:val="ad"/>
                <w:noProof/>
              </w:rPr>
              <w:t>制定目的</w:t>
            </w:r>
            <w:r>
              <w:rPr>
                <w:rFonts w:hint="eastAsia"/>
                <w:noProof/>
              </w:rPr>
              <w:tab/>
            </w:r>
            <w:r>
              <w:rPr>
                <w:rFonts w:hint="eastAsia"/>
                <w:noProof/>
              </w:rPr>
              <w:fldChar w:fldCharType="begin"/>
            </w:r>
            <w:r>
              <w:rPr>
                <w:rFonts w:hint="eastAsia"/>
                <w:noProof/>
              </w:rPr>
              <w:instrText xml:space="preserve"> </w:instrText>
            </w:r>
            <w:r>
              <w:rPr>
                <w:noProof/>
              </w:rPr>
              <w:instrText>PAGEREF _Toc239001627 \h</w:instrText>
            </w:r>
            <w:r>
              <w:rPr>
                <w:rFonts w:hint="eastAsia"/>
                <w:noProof/>
              </w:rPr>
              <w:instrText xml:space="preserve"> </w:instrText>
            </w:r>
            <w:r>
              <w:rPr>
                <w:rFonts w:hint="eastAsia"/>
                <w:noProof/>
              </w:rPr>
            </w:r>
            <w:r>
              <w:rPr>
                <w:rFonts w:hint="eastAsia"/>
                <w:noProof/>
              </w:rPr>
              <w:fldChar w:fldCharType="separate"/>
            </w:r>
            <w:r w:rsidR="002F1203">
              <w:rPr>
                <w:noProof/>
              </w:rPr>
              <w:t>1</w:t>
            </w:r>
            <w:r>
              <w:rPr>
                <w:rFonts w:hint="eastAsia"/>
                <w:noProof/>
              </w:rPr>
              <w:fldChar w:fldCharType="end"/>
            </w:r>
          </w:hyperlink>
        </w:p>
        <w:p w14:paraId="1CBA2A8C" w14:textId="4236A661"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28" w:history="1">
            <w:r w:rsidRPr="0067622E">
              <w:rPr>
                <w:rStyle w:val="ad"/>
                <w:noProof/>
              </w:rPr>
              <w:t>1.3</w:t>
            </w:r>
            <w:r w:rsidRPr="0067622E">
              <w:rPr>
                <w:rStyle w:val="ad"/>
                <w:noProof/>
              </w:rPr>
              <w:t>制定意义</w:t>
            </w:r>
            <w:r>
              <w:rPr>
                <w:rFonts w:hint="eastAsia"/>
                <w:noProof/>
              </w:rPr>
              <w:tab/>
            </w:r>
            <w:r>
              <w:rPr>
                <w:rFonts w:hint="eastAsia"/>
                <w:noProof/>
              </w:rPr>
              <w:fldChar w:fldCharType="begin"/>
            </w:r>
            <w:r>
              <w:rPr>
                <w:rFonts w:hint="eastAsia"/>
                <w:noProof/>
              </w:rPr>
              <w:instrText xml:space="preserve"> </w:instrText>
            </w:r>
            <w:r>
              <w:rPr>
                <w:noProof/>
              </w:rPr>
              <w:instrText>PAGEREF _Toc239001628 \h</w:instrText>
            </w:r>
            <w:r>
              <w:rPr>
                <w:rFonts w:hint="eastAsia"/>
                <w:noProof/>
              </w:rPr>
              <w:instrText xml:space="preserve"> </w:instrText>
            </w:r>
            <w:r>
              <w:rPr>
                <w:rFonts w:hint="eastAsia"/>
                <w:noProof/>
              </w:rPr>
            </w:r>
            <w:r>
              <w:rPr>
                <w:rFonts w:hint="eastAsia"/>
                <w:noProof/>
              </w:rPr>
              <w:fldChar w:fldCharType="separate"/>
            </w:r>
            <w:r w:rsidR="002F1203">
              <w:rPr>
                <w:noProof/>
              </w:rPr>
              <w:t>1</w:t>
            </w:r>
            <w:r>
              <w:rPr>
                <w:rFonts w:hint="eastAsia"/>
                <w:noProof/>
              </w:rPr>
              <w:fldChar w:fldCharType="end"/>
            </w:r>
          </w:hyperlink>
        </w:p>
        <w:p w14:paraId="2CFF0637" w14:textId="597A0408" w:rsidR="00266398" w:rsidRDefault="00266398">
          <w:pPr>
            <w:pStyle w:val="TOC1"/>
            <w:tabs>
              <w:tab w:val="right" w:leader="dot" w:pos="8296"/>
            </w:tabs>
            <w:ind w:firstLine="480"/>
            <w:rPr>
              <w:rFonts w:asciiTheme="minorHAnsi" w:eastAsiaTheme="minorEastAsia" w:hAnsiTheme="minorHAnsi" w:cstheme="minorBidi"/>
              <w:noProof/>
              <w:sz w:val="22"/>
              <w14:ligatures w14:val="standardContextual"/>
            </w:rPr>
          </w:pPr>
          <w:hyperlink w:anchor="_Toc239001629" w:history="1">
            <w:r w:rsidRPr="0067622E">
              <w:rPr>
                <w:rStyle w:val="ad"/>
                <w:noProof/>
              </w:rPr>
              <w:t>2</w:t>
            </w:r>
            <w:r w:rsidRPr="0067622E">
              <w:rPr>
                <w:rStyle w:val="ad"/>
                <w:noProof/>
              </w:rPr>
              <w:t>工作简况</w:t>
            </w:r>
            <w:r>
              <w:rPr>
                <w:rFonts w:hint="eastAsia"/>
                <w:noProof/>
              </w:rPr>
              <w:tab/>
            </w:r>
            <w:r>
              <w:rPr>
                <w:rFonts w:hint="eastAsia"/>
                <w:noProof/>
              </w:rPr>
              <w:fldChar w:fldCharType="begin"/>
            </w:r>
            <w:r>
              <w:rPr>
                <w:rFonts w:hint="eastAsia"/>
                <w:noProof/>
              </w:rPr>
              <w:instrText xml:space="preserve"> </w:instrText>
            </w:r>
            <w:r>
              <w:rPr>
                <w:noProof/>
              </w:rPr>
              <w:instrText>PAGEREF _Toc239001629 \h</w:instrText>
            </w:r>
            <w:r>
              <w:rPr>
                <w:rFonts w:hint="eastAsia"/>
                <w:noProof/>
              </w:rPr>
              <w:instrText xml:space="preserve"> </w:instrText>
            </w:r>
            <w:r>
              <w:rPr>
                <w:rFonts w:hint="eastAsia"/>
                <w:noProof/>
              </w:rPr>
            </w:r>
            <w:r>
              <w:rPr>
                <w:rFonts w:hint="eastAsia"/>
                <w:noProof/>
              </w:rPr>
              <w:fldChar w:fldCharType="separate"/>
            </w:r>
            <w:r w:rsidR="002F1203">
              <w:rPr>
                <w:noProof/>
              </w:rPr>
              <w:t>2</w:t>
            </w:r>
            <w:r>
              <w:rPr>
                <w:rFonts w:hint="eastAsia"/>
                <w:noProof/>
              </w:rPr>
              <w:fldChar w:fldCharType="end"/>
            </w:r>
          </w:hyperlink>
        </w:p>
        <w:p w14:paraId="4E9E3F26" w14:textId="24685219"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0" w:history="1">
            <w:r w:rsidRPr="0067622E">
              <w:rPr>
                <w:rStyle w:val="ad"/>
                <w:noProof/>
              </w:rPr>
              <w:t xml:space="preserve">2.1 </w:t>
            </w:r>
            <w:r w:rsidRPr="0067622E">
              <w:rPr>
                <w:rStyle w:val="ad"/>
                <w:noProof/>
              </w:rPr>
              <w:t>任务来源、计划项目编号、参加单位</w:t>
            </w:r>
            <w:r>
              <w:rPr>
                <w:rFonts w:hint="eastAsia"/>
                <w:noProof/>
              </w:rPr>
              <w:tab/>
            </w:r>
            <w:r>
              <w:rPr>
                <w:rFonts w:hint="eastAsia"/>
                <w:noProof/>
              </w:rPr>
              <w:fldChar w:fldCharType="begin"/>
            </w:r>
            <w:r>
              <w:rPr>
                <w:rFonts w:hint="eastAsia"/>
                <w:noProof/>
              </w:rPr>
              <w:instrText xml:space="preserve"> </w:instrText>
            </w:r>
            <w:r>
              <w:rPr>
                <w:noProof/>
              </w:rPr>
              <w:instrText>PAGEREF _Toc239001630 \h</w:instrText>
            </w:r>
            <w:r>
              <w:rPr>
                <w:rFonts w:hint="eastAsia"/>
                <w:noProof/>
              </w:rPr>
              <w:instrText xml:space="preserve"> </w:instrText>
            </w:r>
            <w:r>
              <w:rPr>
                <w:rFonts w:hint="eastAsia"/>
                <w:noProof/>
              </w:rPr>
            </w:r>
            <w:r>
              <w:rPr>
                <w:rFonts w:hint="eastAsia"/>
                <w:noProof/>
              </w:rPr>
              <w:fldChar w:fldCharType="separate"/>
            </w:r>
            <w:r w:rsidR="002F1203">
              <w:rPr>
                <w:noProof/>
              </w:rPr>
              <w:t>2</w:t>
            </w:r>
            <w:r>
              <w:rPr>
                <w:rFonts w:hint="eastAsia"/>
                <w:noProof/>
              </w:rPr>
              <w:fldChar w:fldCharType="end"/>
            </w:r>
          </w:hyperlink>
        </w:p>
        <w:p w14:paraId="27E98679" w14:textId="2FB7D7ED"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1" w:history="1">
            <w:r w:rsidRPr="0067622E">
              <w:rPr>
                <w:rStyle w:val="ad"/>
                <w:noProof/>
              </w:rPr>
              <w:t xml:space="preserve">2.2 </w:t>
            </w:r>
            <w:r w:rsidRPr="0067622E">
              <w:rPr>
                <w:rStyle w:val="ad"/>
                <w:noProof/>
              </w:rPr>
              <w:t>主要工作过程</w:t>
            </w:r>
            <w:r>
              <w:rPr>
                <w:rFonts w:hint="eastAsia"/>
                <w:noProof/>
              </w:rPr>
              <w:tab/>
            </w:r>
            <w:r>
              <w:rPr>
                <w:rFonts w:hint="eastAsia"/>
                <w:noProof/>
              </w:rPr>
              <w:fldChar w:fldCharType="begin"/>
            </w:r>
            <w:r>
              <w:rPr>
                <w:rFonts w:hint="eastAsia"/>
                <w:noProof/>
              </w:rPr>
              <w:instrText xml:space="preserve"> </w:instrText>
            </w:r>
            <w:r>
              <w:rPr>
                <w:noProof/>
              </w:rPr>
              <w:instrText>PAGEREF _Toc239001631 \h</w:instrText>
            </w:r>
            <w:r>
              <w:rPr>
                <w:rFonts w:hint="eastAsia"/>
                <w:noProof/>
              </w:rPr>
              <w:instrText xml:space="preserve"> </w:instrText>
            </w:r>
            <w:r>
              <w:rPr>
                <w:rFonts w:hint="eastAsia"/>
                <w:noProof/>
              </w:rPr>
            </w:r>
            <w:r>
              <w:rPr>
                <w:rFonts w:hint="eastAsia"/>
                <w:noProof/>
              </w:rPr>
              <w:fldChar w:fldCharType="separate"/>
            </w:r>
            <w:r w:rsidR="002F1203">
              <w:rPr>
                <w:noProof/>
              </w:rPr>
              <w:t>2</w:t>
            </w:r>
            <w:r>
              <w:rPr>
                <w:rFonts w:hint="eastAsia"/>
                <w:noProof/>
              </w:rPr>
              <w:fldChar w:fldCharType="end"/>
            </w:r>
          </w:hyperlink>
        </w:p>
        <w:p w14:paraId="44D8987D" w14:textId="678A9644"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2" w:history="1">
            <w:r w:rsidRPr="0067622E">
              <w:rPr>
                <w:rStyle w:val="ad"/>
                <w:noProof/>
              </w:rPr>
              <w:t xml:space="preserve">2.3 </w:t>
            </w:r>
            <w:r w:rsidRPr="0067622E">
              <w:rPr>
                <w:rStyle w:val="ad"/>
                <w:noProof/>
              </w:rPr>
              <w:t>标准主要起草人及其所做的工作</w:t>
            </w:r>
            <w:r>
              <w:rPr>
                <w:rFonts w:hint="eastAsia"/>
                <w:noProof/>
              </w:rPr>
              <w:tab/>
            </w:r>
            <w:r>
              <w:rPr>
                <w:rFonts w:hint="eastAsia"/>
                <w:noProof/>
              </w:rPr>
              <w:fldChar w:fldCharType="begin"/>
            </w:r>
            <w:r>
              <w:rPr>
                <w:rFonts w:hint="eastAsia"/>
                <w:noProof/>
              </w:rPr>
              <w:instrText xml:space="preserve"> </w:instrText>
            </w:r>
            <w:r>
              <w:rPr>
                <w:noProof/>
              </w:rPr>
              <w:instrText>PAGEREF _Toc239001632 \h</w:instrText>
            </w:r>
            <w:r>
              <w:rPr>
                <w:rFonts w:hint="eastAsia"/>
                <w:noProof/>
              </w:rPr>
              <w:instrText xml:space="preserve"> </w:instrText>
            </w:r>
            <w:r>
              <w:rPr>
                <w:rFonts w:hint="eastAsia"/>
                <w:noProof/>
              </w:rPr>
            </w:r>
            <w:r>
              <w:rPr>
                <w:rFonts w:hint="eastAsia"/>
                <w:noProof/>
              </w:rPr>
              <w:fldChar w:fldCharType="separate"/>
            </w:r>
            <w:r w:rsidR="002F1203">
              <w:rPr>
                <w:noProof/>
              </w:rPr>
              <w:t>3</w:t>
            </w:r>
            <w:r>
              <w:rPr>
                <w:rFonts w:hint="eastAsia"/>
                <w:noProof/>
              </w:rPr>
              <w:fldChar w:fldCharType="end"/>
            </w:r>
          </w:hyperlink>
        </w:p>
        <w:p w14:paraId="445EC6A8" w14:textId="13F18C33" w:rsidR="00266398" w:rsidRDefault="00266398">
          <w:pPr>
            <w:pStyle w:val="TOC1"/>
            <w:tabs>
              <w:tab w:val="right" w:leader="dot" w:pos="8296"/>
            </w:tabs>
            <w:ind w:firstLine="480"/>
            <w:rPr>
              <w:rFonts w:asciiTheme="minorHAnsi" w:eastAsiaTheme="minorEastAsia" w:hAnsiTheme="minorHAnsi" w:cstheme="minorBidi"/>
              <w:noProof/>
              <w:sz w:val="22"/>
              <w14:ligatures w14:val="standardContextual"/>
            </w:rPr>
          </w:pPr>
          <w:hyperlink w:anchor="_Toc239001633" w:history="1">
            <w:r w:rsidRPr="0067622E">
              <w:rPr>
                <w:rStyle w:val="ad"/>
                <w:noProof/>
              </w:rPr>
              <w:t>3</w:t>
            </w:r>
            <w:r w:rsidRPr="0067622E">
              <w:rPr>
                <w:rStyle w:val="ad"/>
                <w:noProof/>
              </w:rPr>
              <w:t>标准编制原则和标准主要内容</w:t>
            </w:r>
            <w:r>
              <w:rPr>
                <w:rFonts w:hint="eastAsia"/>
                <w:noProof/>
              </w:rPr>
              <w:tab/>
            </w:r>
            <w:r>
              <w:rPr>
                <w:rFonts w:hint="eastAsia"/>
                <w:noProof/>
              </w:rPr>
              <w:fldChar w:fldCharType="begin"/>
            </w:r>
            <w:r>
              <w:rPr>
                <w:rFonts w:hint="eastAsia"/>
                <w:noProof/>
              </w:rPr>
              <w:instrText xml:space="preserve"> </w:instrText>
            </w:r>
            <w:r>
              <w:rPr>
                <w:noProof/>
              </w:rPr>
              <w:instrText>PAGEREF _Toc239001633 \h</w:instrText>
            </w:r>
            <w:r>
              <w:rPr>
                <w:rFonts w:hint="eastAsia"/>
                <w:noProof/>
              </w:rPr>
              <w:instrText xml:space="preserve"> </w:instrText>
            </w:r>
            <w:r>
              <w:rPr>
                <w:rFonts w:hint="eastAsia"/>
                <w:noProof/>
              </w:rPr>
            </w:r>
            <w:r>
              <w:rPr>
                <w:rFonts w:hint="eastAsia"/>
                <w:noProof/>
              </w:rPr>
              <w:fldChar w:fldCharType="separate"/>
            </w:r>
            <w:r w:rsidR="002F1203">
              <w:rPr>
                <w:noProof/>
              </w:rPr>
              <w:t>3</w:t>
            </w:r>
            <w:r>
              <w:rPr>
                <w:rFonts w:hint="eastAsia"/>
                <w:noProof/>
              </w:rPr>
              <w:fldChar w:fldCharType="end"/>
            </w:r>
          </w:hyperlink>
        </w:p>
        <w:p w14:paraId="02F7ED4E" w14:textId="2BA70535"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4" w:history="1">
            <w:r w:rsidRPr="0067622E">
              <w:rPr>
                <w:rStyle w:val="ad"/>
                <w:noProof/>
              </w:rPr>
              <w:t>3.1</w:t>
            </w:r>
            <w:r w:rsidRPr="0067622E">
              <w:rPr>
                <w:rStyle w:val="ad"/>
                <w:noProof/>
              </w:rPr>
              <w:t>编制原则</w:t>
            </w:r>
            <w:r>
              <w:rPr>
                <w:rFonts w:hint="eastAsia"/>
                <w:noProof/>
              </w:rPr>
              <w:tab/>
            </w:r>
            <w:r>
              <w:rPr>
                <w:rFonts w:hint="eastAsia"/>
                <w:noProof/>
              </w:rPr>
              <w:fldChar w:fldCharType="begin"/>
            </w:r>
            <w:r>
              <w:rPr>
                <w:rFonts w:hint="eastAsia"/>
                <w:noProof/>
              </w:rPr>
              <w:instrText xml:space="preserve"> </w:instrText>
            </w:r>
            <w:r>
              <w:rPr>
                <w:noProof/>
              </w:rPr>
              <w:instrText>PAGEREF _Toc239001634 \h</w:instrText>
            </w:r>
            <w:r>
              <w:rPr>
                <w:rFonts w:hint="eastAsia"/>
                <w:noProof/>
              </w:rPr>
              <w:instrText xml:space="preserve"> </w:instrText>
            </w:r>
            <w:r>
              <w:rPr>
                <w:rFonts w:hint="eastAsia"/>
                <w:noProof/>
              </w:rPr>
            </w:r>
            <w:r>
              <w:rPr>
                <w:rFonts w:hint="eastAsia"/>
                <w:noProof/>
              </w:rPr>
              <w:fldChar w:fldCharType="separate"/>
            </w:r>
            <w:r w:rsidR="002F1203">
              <w:rPr>
                <w:noProof/>
              </w:rPr>
              <w:t>3</w:t>
            </w:r>
            <w:r>
              <w:rPr>
                <w:rFonts w:hint="eastAsia"/>
                <w:noProof/>
              </w:rPr>
              <w:fldChar w:fldCharType="end"/>
            </w:r>
          </w:hyperlink>
        </w:p>
        <w:p w14:paraId="7C578DBE" w14:textId="2D670256"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5" w:history="1">
            <w:r w:rsidRPr="0067622E">
              <w:rPr>
                <w:rStyle w:val="ad"/>
                <w:noProof/>
              </w:rPr>
              <w:t>3.2</w:t>
            </w:r>
            <w:r w:rsidRPr="0067622E">
              <w:rPr>
                <w:rStyle w:val="ad"/>
                <w:noProof/>
              </w:rPr>
              <w:t>编制方法</w:t>
            </w:r>
            <w:r>
              <w:rPr>
                <w:rFonts w:hint="eastAsia"/>
                <w:noProof/>
              </w:rPr>
              <w:tab/>
            </w:r>
            <w:r>
              <w:rPr>
                <w:rFonts w:hint="eastAsia"/>
                <w:noProof/>
              </w:rPr>
              <w:fldChar w:fldCharType="begin"/>
            </w:r>
            <w:r>
              <w:rPr>
                <w:rFonts w:hint="eastAsia"/>
                <w:noProof/>
              </w:rPr>
              <w:instrText xml:space="preserve"> </w:instrText>
            </w:r>
            <w:r>
              <w:rPr>
                <w:noProof/>
              </w:rPr>
              <w:instrText>PAGEREF _Toc239001635 \h</w:instrText>
            </w:r>
            <w:r>
              <w:rPr>
                <w:rFonts w:hint="eastAsia"/>
                <w:noProof/>
              </w:rPr>
              <w:instrText xml:space="preserve"> </w:instrText>
            </w:r>
            <w:r>
              <w:rPr>
                <w:rFonts w:hint="eastAsia"/>
                <w:noProof/>
              </w:rPr>
            </w:r>
            <w:r>
              <w:rPr>
                <w:rFonts w:hint="eastAsia"/>
                <w:noProof/>
              </w:rPr>
              <w:fldChar w:fldCharType="separate"/>
            </w:r>
            <w:r w:rsidR="002F1203">
              <w:rPr>
                <w:noProof/>
              </w:rPr>
              <w:t>4</w:t>
            </w:r>
            <w:r>
              <w:rPr>
                <w:rFonts w:hint="eastAsia"/>
                <w:noProof/>
              </w:rPr>
              <w:fldChar w:fldCharType="end"/>
            </w:r>
          </w:hyperlink>
        </w:p>
        <w:p w14:paraId="45E5AC02" w14:textId="4B5962C0"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6" w:history="1">
            <w:r w:rsidRPr="0067622E">
              <w:rPr>
                <w:rStyle w:val="ad"/>
                <w:noProof/>
              </w:rPr>
              <w:t xml:space="preserve">3.3 </w:t>
            </w:r>
            <w:r w:rsidRPr="0067622E">
              <w:rPr>
                <w:rStyle w:val="ad"/>
                <w:noProof/>
              </w:rPr>
              <w:t>标准的主要内容</w:t>
            </w:r>
            <w:r>
              <w:rPr>
                <w:rFonts w:hint="eastAsia"/>
                <w:noProof/>
              </w:rPr>
              <w:tab/>
            </w:r>
            <w:r>
              <w:rPr>
                <w:rFonts w:hint="eastAsia"/>
                <w:noProof/>
              </w:rPr>
              <w:fldChar w:fldCharType="begin"/>
            </w:r>
            <w:r>
              <w:rPr>
                <w:rFonts w:hint="eastAsia"/>
                <w:noProof/>
              </w:rPr>
              <w:instrText xml:space="preserve"> </w:instrText>
            </w:r>
            <w:r>
              <w:rPr>
                <w:noProof/>
              </w:rPr>
              <w:instrText>PAGEREF _Toc239001636 \h</w:instrText>
            </w:r>
            <w:r>
              <w:rPr>
                <w:rFonts w:hint="eastAsia"/>
                <w:noProof/>
              </w:rPr>
              <w:instrText xml:space="preserve"> </w:instrText>
            </w:r>
            <w:r>
              <w:rPr>
                <w:rFonts w:hint="eastAsia"/>
                <w:noProof/>
              </w:rPr>
            </w:r>
            <w:r>
              <w:rPr>
                <w:rFonts w:hint="eastAsia"/>
                <w:noProof/>
              </w:rPr>
              <w:fldChar w:fldCharType="separate"/>
            </w:r>
            <w:r w:rsidR="002F1203">
              <w:rPr>
                <w:noProof/>
              </w:rPr>
              <w:t>5</w:t>
            </w:r>
            <w:r>
              <w:rPr>
                <w:rFonts w:hint="eastAsia"/>
                <w:noProof/>
              </w:rPr>
              <w:fldChar w:fldCharType="end"/>
            </w:r>
          </w:hyperlink>
        </w:p>
        <w:p w14:paraId="1704AE8F" w14:textId="6D153DBE" w:rsidR="00266398" w:rsidRDefault="00266398">
          <w:pPr>
            <w:pStyle w:val="TOC1"/>
            <w:tabs>
              <w:tab w:val="right" w:leader="dot" w:pos="8296"/>
            </w:tabs>
            <w:ind w:firstLine="480"/>
            <w:rPr>
              <w:rFonts w:asciiTheme="minorHAnsi" w:eastAsiaTheme="minorEastAsia" w:hAnsiTheme="minorHAnsi" w:cstheme="minorBidi"/>
              <w:noProof/>
              <w:sz w:val="22"/>
              <w14:ligatures w14:val="standardContextual"/>
            </w:rPr>
          </w:pPr>
          <w:hyperlink w:anchor="_Toc239001637" w:history="1">
            <w:r w:rsidRPr="0067622E">
              <w:rPr>
                <w:rStyle w:val="ad"/>
                <w:noProof/>
              </w:rPr>
              <w:t xml:space="preserve">4 </w:t>
            </w:r>
            <w:r w:rsidRPr="0067622E">
              <w:rPr>
                <w:rStyle w:val="ad"/>
                <w:noProof/>
              </w:rPr>
              <w:t>主要方法验证试验</w:t>
            </w:r>
            <w:r>
              <w:rPr>
                <w:rFonts w:hint="eastAsia"/>
                <w:noProof/>
              </w:rPr>
              <w:tab/>
            </w:r>
            <w:r>
              <w:rPr>
                <w:rFonts w:hint="eastAsia"/>
                <w:noProof/>
              </w:rPr>
              <w:fldChar w:fldCharType="begin"/>
            </w:r>
            <w:r>
              <w:rPr>
                <w:rFonts w:hint="eastAsia"/>
                <w:noProof/>
              </w:rPr>
              <w:instrText xml:space="preserve"> </w:instrText>
            </w:r>
            <w:r>
              <w:rPr>
                <w:noProof/>
              </w:rPr>
              <w:instrText>PAGEREF _Toc239001637 \h</w:instrText>
            </w:r>
            <w:r>
              <w:rPr>
                <w:rFonts w:hint="eastAsia"/>
                <w:noProof/>
              </w:rPr>
              <w:instrText xml:space="preserve"> </w:instrText>
            </w:r>
            <w:r>
              <w:rPr>
                <w:rFonts w:hint="eastAsia"/>
                <w:noProof/>
              </w:rPr>
            </w:r>
            <w:r>
              <w:rPr>
                <w:rFonts w:hint="eastAsia"/>
                <w:noProof/>
              </w:rPr>
              <w:fldChar w:fldCharType="separate"/>
            </w:r>
            <w:r w:rsidR="002F1203">
              <w:rPr>
                <w:noProof/>
              </w:rPr>
              <w:t>10</w:t>
            </w:r>
            <w:r>
              <w:rPr>
                <w:rFonts w:hint="eastAsia"/>
                <w:noProof/>
              </w:rPr>
              <w:fldChar w:fldCharType="end"/>
            </w:r>
          </w:hyperlink>
        </w:p>
        <w:p w14:paraId="29A951A8" w14:textId="4A2030A7"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8" w:history="1">
            <w:r w:rsidRPr="0067622E">
              <w:rPr>
                <w:rStyle w:val="ad"/>
                <w:noProof/>
              </w:rPr>
              <w:t xml:space="preserve">4.1 </w:t>
            </w:r>
            <w:r w:rsidRPr="0067622E">
              <w:rPr>
                <w:rStyle w:val="ad"/>
                <w:noProof/>
              </w:rPr>
              <w:t>验证区域概况</w:t>
            </w:r>
            <w:r>
              <w:rPr>
                <w:rFonts w:hint="eastAsia"/>
                <w:noProof/>
              </w:rPr>
              <w:tab/>
            </w:r>
            <w:r>
              <w:rPr>
                <w:rFonts w:hint="eastAsia"/>
                <w:noProof/>
              </w:rPr>
              <w:fldChar w:fldCharType="begin"/>
            </w:r>
            <w:r>
              <w:rPr>
                <w:rFonts w:hint="eastAsia"/>
                <w:noProof/>
              </w:rPr>
              <w:instrText xml:space="preserve"> </w:instrText>
            </w:r>
            <w:r>
              <w:rPr>
                <w:noProof/>
              </w:rPr>
              <w:instrText>PAGEREF _Toc239001638 \h</w:instrText>
            </w:r>
            <w:r>
              <w:rPr>
                <w:rFonts w:hint="eastAsia"/>
                <w:noProof/>
              </w:rPr>
              <w:instrText xml:space="preserve"> </w:instrText>
            </w:r>
            <w:r>
              <w:rPr>
                <w:rFonts w:hint="eastAsia"/>
                <w:noProof/>
              </w:rPr>
            </w:r>
            <w:r>
              <w:rPr>
                <w:rFonts w:hint="eastAsia"/>
                <w:noProof/>
              </w:rPr>
              <w:fldChar w:fldCharType="separate"/>
            </w:r>
            <w:r w:rsidR="002F1203">
              <w:rPr>
                <w:noProof/>
              </w:rPr>
              <w:t>10</w:t>
            </w:r>
            <w:r>
              <w:rPr>
                <w:rFonts w:hint="eastAsia"/>
                <w:noProof/>
              </w:rPr>
              <w:fldChar w:fldCharType="end"/>
            </w:r>
          </w:hyperlink>
        </w:p>
        <w:p w14:paraId="5FAE6C3A" w14:textId="00A50448"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39" w:history="1">
            <w:r w:rsidRPr="0067622E">
              <w:rPr>
                <w:rStyle w:val="ad"/>
                <w:noProof/>
              </w:rPr>
              <w:t xml:space="preserve">4.2 </w:t>
            </w:r>
            <w:r w:rsidRPr="0067622E">
              <w:rPr>
                <w:rStyle w:val="ad"/>
                <w:noProof/>
              </w:rPr>
              <w:t>验证实施与计算分析</w:t>
            </w:r>
            <w:r>
              <w:rPr>
                <w:rFonts w:hint="eastAsia"/>
                <w:noProof/>
              </w:rPr>
              <w:tab/>
            </w:r>
            <w:r>
              <w:rPr>
                <w:rFonts w:hint="eastAsia"/>
                <w:noProof/>
              </w:rPr>
              <w:fldChar w:fldCharType="begin"/>
            </w:r>
            <w:r>
              <w:rPr>
                <w:rFonts w:hint="eastAsia"/>
                <w:noProof/>
              </w:rPr>
              <w:instrText xml:space="preserve"> </w:instrText>
            </w:r>
            <w:r>
              <w:rPr>
                <w:noProof/>
              </w:rPr>
              <w:instrText>PAGEREF _Toc239001639 \h</w:instrText>
            </w:r>
            <w:r>
              <w:rPr>
                <w:rFonts w:hint="eastAsia"/>
                <w:noProof/>
              </w:rPr>
              <w:instrText xml:space="preserve"> </w:instrText>
            </w:r>
            <w:r>
              <w:rPr>
                <w:rFonts w:hint="eastAsia"/>
                <w:noProof/>
              </w:rPr>
            </w:r>
            <w:r>
              <w:rPr>
                <w:rFonts w:hint="eastAsia"/>
                <w:noProof/>
              </w:rPr>
              <w:fldChar w:fldCharType="separate"/>
            </w:r>
            <w:r w:rsidR="002F1203">
              <w:rPr>
                <w:noProof/>
              </w:rPr>
              <w:t>11</w:t>
            </w:r>
            <w:r>
              <w:rPr>
                <w:rFonts w:hint="eastAsia"/>
                <w:noProof/>
              </w:rPr>
              <w:fldChar w:fldCharType="end"/>
            </w:r>
          </w:hyperlink>
        </w:p>
        <w:p w14:paraId="417AD0E0" w14:textId="19230CC1" w:rsidR="00266398" w:rsidRDefault="00266398">
          <w:pPr>
            <w:pStyle w:val="TOC2"/>
            <w:tabs>
              <w:tab w:val="right" w:leader="dot" w:pos="8296"/>
            </w:tabs>
            <w:ind w:left="480" w:firstLine="480"/>
            <w:rPr>
              <w:rFonts w:asciiTheme="minorHAnsi" w:eastAsiaTheme="minorEastAsia" w:hAnsiTheme="minorHAnsi" w:cstheme="minorBidi"/>
              <w:noProof/>
              <w:sz w:val="22"/>
              <w14:ligatures w14:val="standardContextual"/>
            </w:rPr>
          </w:pPr>
          <w:hyperlink w:anchor="_Toc239001640" w:history="1">
            <w:r w:rsidRPr="0067622E">
              <w:rPr>
                <w:rStyle w:val="ad"/>
                <w:noProof/>
              </w:rPr>
              <w:t xml:space="preserve">4.3 </w:t>
            </w:r>
            <w:r w:rsidRPr="0067622E">
              <w:rPr>
                <w:rStyle w:val="ad"/>
                <w:noProof/>
              </w:rPr>
              <w:t>验证结论</w:t>
            </w:r>
            <w:r>
              <w:rPr>
                <w:rFonts w:hint="eastAsia"/>
                <w:noProof/>
              </w:rPr>
              <w:tab/>
            </w:r>
            <w:r>
              <w:rPr>
                <w:rFonts w:hint="eastAsia"/>
                <w:noProof/>
              </w:rPr>
              <w:fldChar w:fldCharType="begin"/>
            </w:r>
            <w:r>
              <w:rPr>
                <w:rFonts w:hint="eastAsia"/>
                <w:noProof/>
              </w:rPr>
              <w:instrText xml:space="preserve"> </w:instrText>
            </w:r>
            <w:r>
              <w:rPr>
                <w:noProof/>
              </w:rPr>
              <w:instrText>PAGEREF _Toc239001640 \h</w:instrText>
            </w:r>
            <w:r>
              <w:rPr>
                <w:rFonts w:hint="eastAsia"/>
                <w:noProof/>
              </w:rPr>
              <w:instrText xml:space="preserve"> </w:instrText>
            </w:r>
            <w:r>
              <w:rPr>
                <w:rFonts w:hint="eastAsia"/>
                <w:noProof/>
              </w:rPr>
            </w:r>
            <w:r>
              <w:rPr>
                <w:rFonts w:hint="eastAsia"/>
                <w:noProof/>
              </w:rPr>
              <w:fldChar w:fldCharType="separate"/>
            </w:r>
            <w:r w:rsidR="002F1203">
              <w:rPr>
                <w:noProof/>
              </w:rPr>
              <w:t>12</w:t>
            </w:r>
            <w:r>
              <w:rPr>
                <w:rFonts w:hint="eastAsia"/>
                <w:noProof/>
              </w:rPr>
              <w:fldChar w:fldCharType="end"/>
            </w:r>
          </w:hyperlink>
        </w:p>
        <w:p w14:paraId="1FABF91E" w14:textId="5AC94847" w:rsidR="00266398" w:rsidRDefault="00266398">
          <w:pPr>
            <w:pStyle w:val="TOC1"/>
            <w:tabs>
              <w:tab w:val="right" w:leader="dot" w:pos="8296"/>
            </w:tabs>
            <w:ind w:firstLine="480"/>
            <w:rPr>
              <w:rFonts w:asciiTheme="minorHAnsi" w:eastAsiaTheme="minorEastAsia" w:hAnsiTheme="minorHAnsi" w:cstheme="minorBidi"/>
              <w:noProof/>
              <w:sz w:val="22"/>
              <w14:ligatures w14:val="standardContextual"/>
            </w:rPr>
          </w:pPr>
          <w:hyperlink w:anchor="_Toc239001641" w:history="1">
            <w:r w:rsidRPr="0067622E">
              <w:rPr>
                <w:rStyle w:val="ad"/>
                <w:noProof/>
              </w:rPr>
              <w:t xml:space="preserve">5 </w:t>
            </w:r>
            <w:r w:rsidRPr="0067622E">
              <w:rPr>
                <w:rStyle w:val="ad"/>
                <w:noProof/>
              </w:rPr>
              <w:t>与现行有关法律、法规和强制性标准的关系</w:t>
            </w:r>
            <w:r>
              <w:rPr>
                <w:rFonts w:hint="eastAsia"/>
                <w:noProof/>
              </w:rPr>
              <w:tab/>
            </w:r>
            <w:r>
              <w:rPr>
                <w:rFonts w:hint="eastAsia"/>
                <w:noProof/>
              </w:rPr>
              <w:fldChar w:fldCharType="begin"/>
            </w:r>
            <w:r>
              <w:rPr>
                <w:rFonts w:hint="eastAsia"/>
                <w:noProof/>
              </w:rPr>
              <w:instrText xml:space="preserve"> </w:instrText>
            </w:r>
            <w:r>
              <w:rPr>
                <w:noProof/>
              </w:rPr>
              <w:instrText>PAGEREF _Toc239001641 \h</w:instrText>
            </w:r>
            <w:r>
              <w:rPr>
                <w:rFonts w:hint="eastAsia"/>
                <w:noProof/>
              </w:rPr>
              <w:instrText xml:space="preserve"> </w:instrText>
            </w:r>
            <w:r>
              <w:rPr>
                <w:rFonts w:hint="eastAsia"/>
                <w:noProof/>
              </w:rPr>
            </w:r>
            <w:r>
              <w:rPr>
                <w:rFonts w:hint="eastAsia"/>
                <w:noProof/>
              </w:rPr>
              <w:fldChar w:fldCharType="separate"/>
            </w:r>
            <w:r w:rsidR="002F1203">
              <w:rPr>
                <w:noProof/>
              </w:rPr>
              <w:t>13</w:t>
            </w:r>
            <w:r>
              <w:rPr>
                <w:rFonts w:hint="eastAsia"/>
                <w:noProof/>
              </w:rPr>
              <w:fldChar w:fldCharType="end"/>
            </w:r>
          </w:hyperlink>
        </w:p>
        <w:p w14:paraId="2380C247" w14:textId="34AA8374" w:rsidR="00266398" w:rsidRDefault="000F521E">
          <w:pPr>
            <w:pStyle w:val="TOC1"/>
            <w:tabs>
              <w:tab w:val="right" w:leader="dot" w:pos="8296"/>
            </w:tabs>
            <w:ind w:firstLine="480"/>
            <w:rPr>
              <w:rFonts w:asciiTheme="minorHAnsi" w:eastAsiaTheme="minorEastAsia" w:hAnsiTheme="minorHAnsi" w:cstheme="minorBidi"/>
              <w:noProof/>
              <w:sz w:val="22"/>
              <w14:ligatures w14:val="standardContextual"/>
            </w:rPr>
          </w:pPr>
          <w:hyperlink w:anchor="_Toc239001642" w:history="1">
            <w:r>
              <w:rPr>
                <w:rStyle w:val="ad"/>
                <w:rFonts w:hint="eastAsia"/>
                <w:noProof/>
              </w:rPr>
              <w:t>6</w:t>
            </w:r>
            <w:r w:rsidR="00266398" w:rsidRPr="0067622E">
              <w:rPr>
                <w:rStyle w:val="ad"/>
                <w:noProof/>
              </w:rPr>
              <w:t xml:space="preserve"> </w:t>
            </w:r>
            <w:r w:rsidR="00266398" w:rsidRPr="0067622E">
              <w:rPr>
                <w:rStyle w:val="ad"/>
                <w:noProof/>
              </w:rPr>
              <w:t>贯彻学会标准的要求和措施建议</w:t>
            </w:r>
            <w:r w:rsidR="00266398">
              <w:rPr>
                <w:rFonts w:hint="eastAsia"/>
                <w:noProof/>
              </w:rPr>
              <w:tab/>
            </w:r>
            <w:r w:rsidR="00266398">
              <w:rPr>
                <w:rFonts w:hint="eastAsia"/>
                <w:noProof/>
              </w:rPr>
              <w:fldChar w:fldCharType="begin"/>
            </w:r>
            <w:r w:rsidR="00266398">
              <w:rPr>
                <w:rFonts w:hint="eastAsia"/>
                <w:noProof/>
              </w:rPr>
              <w:instrText xml:space="preserve"> </w:instrText>
            </w:r>
            <w:r w:rsidR="00266398">
              <w:rPr>
                <w:noProof/>
              </w:rPr>
              <w:instrText>PAGEREF _Toc239001642 \h</w:instrText>
            </w:r>
            <w:r w:rsidR="00266398">
              <w:rPr>
                <w:rFonts w:hint="eastAsia"/>
                <w:noProof/>
              </w:rPr>
              <w:instrText xml:space="preserve"> </w:instrText>
            </w:r>
            <w:r w:rsidR="00266398">
              <w:rPr>
                <w:rFonts w:hint="eastAsia"/>
                <w:noProof/>
              </w:rPr>
            </w:r>
            <w:r w:rsidR="00266398">
              <w:rPr>
                <w:rFonts w:hint="eastAsia"/>
                <w:noProof/>
              </w:rPr>
              <w:fldChar w:fldCharType="separate"/>
            </w:r>
            <w:r w:rsidR="002F1203">
              <w:rPr>
                <w:noProof/>
              </w:rPr>
              <w:t>13</w:t>
            </w:r>
            <w:r w:rsidR="00266398">
              <w:rPr>
                <w:rFonts w:hint="eastAsia"/>
                <w:noProof/>
              </w:rPr>
              <w:fldChar w:fldCharType="end"/>
            </w:r>
          </w:hyperlink>
        </w:p>
        <w:p w14:paraId="1DA9D11F" w14:textId="3E8BC50C" w:rsidR="00266398" w:rsidRDefault="000F521E">
          <w:pPr>
            <w:pStyle w:val="TOC1"/>
            <w:tabs>
              <w:tab w:val="right" w:leader="dot" w:pos="8296"/>
            </w:tabs>
            <w:ind w:firstLine="480"/>
            <w:rPr>
              <w:rFonts w:asciiTheme="minorHAnsi" w:eastAsiaTheme="minorEastAsia" w:hAnsiTheme="minorHAnsi" w:cstheme="minorBidi"/>
              <w:noProof/>
              <w:sz w:val="22"/>
              <w14:ligatures w14:val="standardContextual"/>
            </w:rPr>
          </w:pPr>
          <w:hyperlink w:anchor="_Toc239001643" w:history="1">
            <w:r>
              <w:rPr>
                <w:rStyle w:val="ad"/>
                <w:rFonts w:hint="eastAsia"/>
                <w:noProof/>
              </w:rPr>
              <w:t>7</w:t>
            </w:r>
            <w:r w:rsidR="00266398" w:rsidRPr="0067622E">
              <w:rPr>
                <w:rStyle w:val="ad"/>
                <w:noProof/>
              </w:rPr>
              <w:t xml:space="preserve"> </w:t>
            </w:r>
            <w:r w:rsidR="00266398" w:rsidRPr="0067622E">
              <w:rPr>
                <w:rStyle w:val="ad"/>
                <w:noProof/>
              </w:rPr>
              <w:t>其他应予说明的事项</w:t>
            </w:r>
            <w:r w:rsidR="00266398">
              <w:rPr>
                <w:rFonts w:hint="eastAsia"/>
                <w:noProof/>
              </w:rPr>
              <w:tab/>
            </w:r>
            <w:r w:rsidR="00266398">
              <w:rPr>
                <w:rFonts w:hint="eastAsia"/>
                <w:noProof/>
              </w:rPr>
              <w:fldChar w:fldCharType="begin"/>
            </w:r>
            <w:r w:rsidR="00266398">
              <w:rPr>
                <w:rFonts w:hint="eastAsia"/>
                <w:noProof/>
              </w:rPr>
              <w:instrText xml:space="preserve"> </w:instrText>
            </w:r>
            <w:r w:rsidR="00266398">
              <w:rPr>
                <w:noProof/>
              </w:rPr>
              <w:instrText>PAGEREF _Toc239001643 \h</w:instrText>
            </w:r>
            <w:r w:rsidR="00266398">
              <w:rPr>
                <w:rFonts w:hint="eastAsia"/>
                <w:noProof/>
              </w:rPr>
              <w:instrText xml:space="preserve"> </w:instrText>
            </w:r>
            <w:r w:rsidR="00266398">
              <w:rPr>
                <w:rFonts w:hint="eastAsia"/>
                <w:noProof/>
              </w:rPr>
            </w:r>
            <w:r w:rsidR="00266398">
              <w:rPr>
                <w:rFonts w:hint="eastAsia"/>
                <w:noProof/>
              </w:rPr>
              <w:fldChar w:fldCharType="separate"/>
            </w:r>
            <w:r w:rsidR="002F1203">
              <w:rPr>
                <w:noProof/>
              </w:rPr>
              <w:t>13</w:t>
            </w:r>
            <w:r w:rsidR="00266398">
              <w:rPr>
                <w:rFonts w:hint="eastAsia"/>
                <w:noProof/>
              </w:rPr>
              <w:fldChar w:fldCharType="end"/>
            </w:r>
          </w:hyperlink>
        </w:p>
        <w:p w14:paraId="696320A2" w14:textId="16C85600" w:rsidR="006651EC" w:rsidRDefault="002D5D0E" w:rsidP="002D4865">
          <w:pPr>
            <w:pStyle w:val="TOC1"/>
            <w:tabs>
              <w:tab w:val="right" w:leader="dot" w:pos="8296"/>
            </w:tabs>
            <w:ind w:firstLine="480"/>
            <w:rPr>
              <w:rFonts w:eastAsia="黑体"/>
              <w:kern w:val="0"/>
              <w:szCs w:val="36"/>
            </w:rPr>
          </w:pPr>
          <w:r>
            <w:rPr>
              <w:rFonts w:eastAsia="黑体"/>
              <w:kern w:val="0"/>
              <w:szCs w:val="44"/>
            </w:rPr>
            <w:fldChar w:fldCharType="end"/>
          </w:r>
        </w:p>
      </w:sdtContent>
    </w:sdt>
    <w:p w14:paraId="1AE7CE68" w14:textId="77777777" w:rsidR="006651EC" w:rsidRDefault="006651EC">
      <w:pPr>
        <w:ind w:firstLine="480"/>
        <w:jc w:val="center"/>
        <w:rPr>
          <w:rFonts w:eastAsia="黑体"/>
          <w:kern w:val="0"/>
          <w:szCs w:val="36"/>
        </w:rPr>
      </w:pPr>
    </w:p>
    <w:p w14:paraId="49E6204E" w14:textId="77777777" w:rsidR="006651EC" w:rsidRDefault="006651EC">
      <w:pPr>
        <w:ind w:firstLine="480"/>
        <w:jc w:val="center"/>
        <w:rPr>
          <w:rFonts w:eastAsia="黑体"/>
          <w:kern w:val="0"/>
          <w:szCs w:val="36"/>
        </w:rPr>
        <w:sectPr w:rsidR="006651EC">
          <w:pgSz w:w="11906" w:h="16838"/>
          <w:pgMar w:top="1440" w:right="1800" w:bottom="1440" w:left="1800" w:header="851" w:footer="992" w:gutter="0"/>
          <w:cols w:space="425"/>
          <w:docGrid w:type="lines" w:linePitch="312"/>
        </w:sectPr>
      </w:pPr>
    </w:p>
    <w:p w14:paraId="1C7236D7" w14:textId="77777777" w:rsidR="006651EC" w:rsidRDefault="002D5D0E">
      <w:pPr>
        <w:pStyle w:val="1"/>
      </w:pPr>
      <w:bookmarkStart w:id="0" w:name="_Toc17174"/>
      <w:bookmarkStart w:id="1" w:name="_Toc239001625"/>
      <w:r>
        <w:lastRenderedPageBreak/>
        <w:t>1</w:t>
      </w:r>
      <w:r>
        <w:t>制定标准的背景、目的和意义</w:t>
      </w:r>
      <w:bookmarkEnd w:id="0"/>
      <w:bookmarkEnd w:id="1"/>
    </w:p>
    <w:p w14:paraId="64AE9C29" w14:textId="77777777" w:rsidR="006651EC" w:rsidRDefault="002D5D0E">
      <w:pPr>
        <w:pStyle w:val="2"/>
      </w:pPr>
      <w:bookmarkStart w:id="2" w:name="_Toc17145"/>
      <w:bookmarkStart w:id="3" w:name="_Toc239001626"/>
      <w:r>
        <w:t>1.1</w:t>
      </w:r>
      <w:r>
        <w:t>制定背景</w:t>
      </w:r>
      <w:bookmarkEnd w:id="2"/>
      <w:bookmarkEnd w:id="3"/>
    </w:p>
    <w:p w14:paraId="7A5EAFFB" w14:textId="77777777" w:rsidR="00895A11" w:rsidRPr="00895A11" w:rsidRDefault="00895A11" w:rsidP="00895A11">
      <w:pPr>
        <w:widowControl/>
        <w:ind w:firstLine="480"/>
        <w:jc w:val="left"/>
        <w:rPr>
          <w:kern w:val="0"/>
        </w:rPr>
      </w:pPr>
      <w:bookmarkStart w:id="4" w:name="_Toc5411"/>
      <w:r w:rsidRPr="00895A11">
        <w:rPr>
          <w:rFonts w:hint="eastAsia"/>
          <w:kern w:val="0"/>
        </w:rPr>
        <w:t>入海河口是流域与海洋交汇的关键敏感区域，兼具生态缓冲与经济承载功能，生态脆弱性突出。随着陆海区域人类活动扰动持续加剧，流域工农业污染、城乡排污、近海开发及水土流失多重问题叠加，河口底泥大量蓄积氮磷、重金属等污染物；在径流、潮汐扰动下内源污染持续释放，诱发水体富营养化、赤潮、潮滩退化、生物栖息地受损等生态问题，严重制约陆海生态安全，开展科学生态清淤已成为陆海统筹水环境治理的迫切需求。</w:t>
      </w:r>
    </w:p>
    <w:p w14:paraId="218E3EE4" w14:textId="60B0ABB5" w:rsidR="001A4E9B" w:rsidRDefault="001A4E9B" w:rsidP="00895A11">
      <w:pPr>
        <w:widowControl/>
        <w:ind w:firstLine="480"/>
        <w:jc w:val="left"/>
        <w:rPr>
          <w:kern w:val="0"/>
        </w:rPr>
      </w:pPr>
      <w:r w:rsidRPr="001A4E9B">
        <w:rPr>
          <w:kern w:val="0"/>
        </w:rPr>
        <w:t>长期以来，国内清淤工程多套用内陆河道、通用海洋疏浚模式，粗放式</w:t>
      </w:r>
      <w:r w:rsidRPr="001A4E9B">
        <w:rPr>
          <w:kern w:val="0"/>
        </w:rPr>
        <w:t xml:space="preserve"> “</w:t>
      </w:r>
      <w:r w:rsidRPr="001A4E9B">
        <w:rPr>
          <w:kern w:val="0"/>
        </w:rPr>
        <w:t>一刀切</w:t>
      </w:r>
      <w:r w:rsidRPr="001A4E9B">
        <w:rPr>
          <w:kern w:val="0"/>
        </w:rPr>
        <w:t xml:space="preserve">” </w:t>
      </w:r>
      <w:r w:rsidRPr="001A4E9B">
        <w:rPr>
          <w:kern w:val="0"/>
        </w:rPr>
        <w:t>疏浚极易引发污染物二次扩散，损毁红树林、盐沼等关键滨海生境。立足陆海统筹、绿色低碳发展及海洋强国战略实施要求，当前工程前期决策中</w:t>
      </w:r>
      <w:r w:rsidRPr="001A4E9B">
        <w:rPr>
          <w:kern w:val="0"/>
        </w:rPr>
        <w:t>“</w:t>
      </w:r>
      <w:r w:rsidRPr="001A4E9B">
        <w:rPr>
          <w:kern w:val="0"/>
        </w:rPr>
        <w:t>清淤必要性、疏浚范围、疏浚深度、生态风险防控</w:t>
      </w:r>
      <w:r w:rsidRPr="001A4E9B">
        <w:rPr>
          <w:kern w:val="0"/>
        </w:rPr>
        <w:t xml:space="preserve">” </w:t>
      </w:r>
      <w:r w:rsidRPr="001A4E9B">
        <w:rPr>
          <w:kern w:val="0"/>
        </w:rPr>
        <w:t>等核心环节缺乏统一技术指引，亟需构建科学系统的入海河口生态清淤标准体系，统一生态评价方法与工程实施规范，化解河口污染治理与生态保护之间的矛盾，为河口及近岸海域可持续生态管控提供完整技术支撑。</w:t>
      </w:r>
    </w:p>
    <w:p w14:paraId="6D1E37DA" w14:textId="77777777" w:rsidR="006651EC" w:rsidRDefault="002D5D0E">
      <w:pPr>
        <w:pStyle w:val="2"/>
      </w:pPr>
      <w:bookmarkStart w:id="5" w:name="_Toc239001627"/>
      <w:r>
        <w:rPr>
          <w:rFonts w:hint="eastAsia"/>
        </w:rPr>
        <w:t>1.2</w:t>
      </w:r>
      <w:r>
        <w:rPr>
          <w:rFonts w:hint="eastAsia"/>
        </w:rPr>
        <w:t>制定目的</w:t>
      </w:r>
      <w:bookmarkEnd w:id="5"/>
    </w:p>
    <w:p w14:paraId="0E37B461" w14:textId="39A376AD" w:rsidR="00895A11" w:rsidRDefault="00895A11" w:rsidP="00895A11">
      <w:pPr>
        <w:ind w:firstLine="480"/>
        <w:rPr>
          <w:b/>
          <w:bCs/>
        </w:rPr>
      </w:pPr>
      <w:r w:rsidRPr="00895A11">
        <w:t>本标准制定旨在突破传统河口治理模式局限，搭建适配入海河口特征的科学化、标准化专属生态清淤技术规范体系。标准将统筹</w:t>
      </w:r>
      <w:r w:rsidR="00DD0D21" w:rsidRPr="00DD0D21">
        <w:t>水文、沉积物、水环境、水生生物群落</w:t>
      </w:r>
      <w:r w:rsidRPr="00895A11">
        <w:t>等多重要素构建多维度协同评估框架，实现河口生态环境整体系统化研判；同步完善分级量化评分准则，细化清淤判定条件、实施范围及生态禁施工管控要求，补齐工程前期论证技术短板；在此基础上优化全流程治理技术路径，推动河口清淤工程由粗放单一疏浚模式，向精准管控、生态友好、陆海统筹协同的综合治理方向转型。</w:t>
      </w:r>
    </w:p>
    <w:p w14:paraId="432AAE40" w14:textId="5E4B6A3E" w:rsidR="006651EC" w:rsidRDefault="002D5D0E">
      <w:pPr>
        <w:pStyle w:val="2"/>
      </w:pPr>
      <w:bookmarkStart w:id="6" w:name="_Toc239001628"/>
      <w:r>
        <w:rPr>
          <w:rFonts w:hint="eastAsia"/>
        </w:rPr>
        <w:t>1.3</w:t>
      </w:r>
      <w:r>
        <w:t>制定意义</w:t>
      </w:r>
      <w:bookmarkEnd w:id="6"/>
    </w:p>
    <w:p w14:paraId="5A3D74C6" w14:textId="1CB3261B" w:rsidR="006651EC" w:rsidRDefault="002D5D0E">
      <w:pPr>
        <w:widowControl/>
        <w:ind w:firstLine="480"/>
        <w:jc w:val="left"/>
        <w:rPr>
          <w:kern w:val="0"/>
        </w:rPr>
      </w:pPr>
      <w:r>
        <w:rPr>
          <w:kern w:val="0"/>
        </w:rPr>
        <w:t>统一完善的</w:t>
      </w:r>
      <w:r w:rsidR="00FC51A4">
        <w:rPr>
          <w:rFonts w:hint="eastAsia"/>
          <w:kern w:val="0"/>
        </w:rPr>
        <w:t>入海河口</w:t>
      </w:r>
      <w:r>
        <w:rPr>
          <w:kern w:val="0"/>
        </w:rPr>
        <w:t>生态清淤标准体系，能够改变传统粗放模式，有效规避底泥扰动引发的污染物扩散及生境破坏，减少工程无效投入，使河口清淤工作有</w:t>
      </w:r>
      <w:r>
        <w:rPr>
          <w:kern w:val="0"/>
        </w:rPr>
        <w:lastRenderedPageBreak/>
        <w:t>章可循。通过多维度评估与分级治理，精准定位污染区域，科学实施底泥治理与生态修复，解决富营养化、赤潮高发等问题，维护流域</w:t>
      </w:r>
      <w:r>
        <w:rPr>
          <w:kern w:val="0"/>
        </w:rPr>
        <w:t>—</w:t>
      </w:r>
      <w:r>
        <w:rPr>
          <w:kern w:val="0"/>
        </w:rPr>
        <w:t>河口</w:t>
      </w:r>
      <w:r>
        <w:rPr>
          <w:kern w:val="0"/>
        </w:rPr>
        <w:t>—</w:t>
      </w:r>
      <w:r>
        <w:rPr>
          <w:kern w:val="0"/>
        </w:rPr>
        <w:t>近海生态平衡。同时，为美丽海湾建设、陆海统筹治理提供技术支撑，降低各地重复制定标准的成本，为我国河口近海生态环境长效治理提供坚实保障</w:t>
      </w:r>
      <w:r>
        <w:rPr>
          <w:rFonts w:hint="eastAsia"/>
          <w:kern w:val="0"/>
        </w:rPr>
        <w:t>。</w:t>
      </w:r>
    </w:p>
    <w:p w14:paraId="02B5B0BE" w14:textId="77777777" w:rsidR="006651EC" w:rsidRDefault="002D5D0E">
      <w:pPr>
        <w:pStyle w:val="1"/>
      </w:pPr>
      <w:bookmarkStart w:id="7" w:name="_Toc239001629"/>
      <w:r>
        <w:t>2</w:t>
      </w:r>
      <w:r>
        <w:t>工作简况</w:t>
      </w:r>
      <w:bookmarkEnd w:id="4"/>
      <w:bookmarkEnd w:id="7"/>
    </w:p>
    <w:p w14:paraId="0F4A1037" w14:textId="60975FC3" w:rsidR="006651EC" w:rsidRDefault="002D5D0E">
      <w:pPr>
        <w:pStyle w:val="2"/>
      </w:pPr>
      <w:bookmarkStart w:id="8" w:name="_Toc31872"/>
      <w:bookmarkStart w:id="9" w:name="_Toc239001630"/>
      <w:r>
        <w:t xml:space="preserve">2.1 </w:t>
      </w:r>
      <w:r>
        <w:t>任务来源、计划项目编号、参加单位</w:t>
      </w:r>
      <w:bookmarkEnd w:id="8"/>
      <w:bookmarkEnd w:id="9"/>
    </w:p>
    <w:p w14:paraId="275CC163" w14:textId="78CE4C65" w:rsidR="006651EC" w:rsidRPr="00EE65BC" w:rsidRDefault="002D5D0E" w:rsidP="00874699">
      <w:pPr>
        <w:ind w:firstLine="480"/>
      </w:pPr>
      <w:r w:rsidRPr="00685843">
        <w:rPr>
          <w:rFonts w:hint="eastAsia"/>
        </w:rPr>
        <w:t>2025</w:t>
      </w:r>
      <w:r w:rsidRPr="00685843">
        <w:rPr>
          <w:rFonts w:hint="eastAsia"/>
        </w:rPr>
        <w:t>年，</w:t>
      </w:r>
      <w:r w:rsidRPr="00685843">
        <w:t>根据中国海洋</w:t>
      </w:r>
      <w:r w:rsidR="00EE65BC" w:rsidRPr="00685843">
        <w:rPr>
          <w:rFonts w:hint="eastAsia"/>
        </w:rPr>
        <w:t>学</w:t>
      </w:r>
      <w:r w:rsidRPr="00685843">
        <w:t>会下发的《关于下达中国海洋学会标准计划的通知》（中海学字〔</w:t>
      </w:r>
      <w:r w:rsidRPr="00685843">
        <w:t>2025</w:t>
      </w:r>
      <w:r w:rsidRPr="00685843">
        <w:t>〕</w:t>
      </w:r>
      <w:r w:rsidR="00EE65BC" w:rsidRPr="00685843">
        <w:rPr>
          <w:rFonts w:hint="eastAsia"/>
        </w:rPr>
        <w:t>25</w:t>
      </w:r>
      <w:r w:rsidRPr="00685843">
        <w:t>号）文件，由浙江省水利河口研究院（浙江省海洋规划设计研究院）牵头负责《</w:t>
      </w:r>
      <w:r w:rsidR="00EE65BC" w:rsidRPr="00685843">
        <w:rPr>
          <w:rFonts w:hint="eastAsia"/>
        </w:rPr>
        <w:t>入海河口</w:t>
      </w:r>
      <w:r w:rsidRPr="00685843">
        <w:rPr>
          <w:rFonts w:hint="eastAsia"/>
        </w:rPr>
        <w:t>生态清淤评估技术规程</w:t>
      </w:r>
      <w:r w:rsidRPr="00685843">
        <w:t>》（标准计划项目编号：</w:t>
      </w:r>
      <w:proofErr w:type="spellStart"/>
      <w:r w:rsidRPr="00685843">
        <w:t>CSO</w:t>
      </w:r>
      <w:proofErr w:type="spellEnd"/>
      <w:r w:rsidRPr="00685843">
        <w:t>-JH-</w:t>
      </w:r>
      <w:r w:rsidR="00EE65BC" w:rsidRPr="00685843">
        <w:rPr>
          <w:rFonts w:hint="eastAsia"/>
        </w:rPr>
        <w:t>56</w:t>
      </w:r>
      <w:r w:rsidRPr="00685843">
        <w:t>）中国海洋学会团体标准的制定工作，参与单位包括</w:t>
      </w:r>
      <w:r w:rsidR="005E753F" w:rsidRPr="00685843">
        <w:t>浙江省海洋监测预报中心、浙江大学、自然资源部第二海洋研究所、浙江树人学院</w:t>
      </w:r>
      <w:r w:rsidRPr="00685843">
        <w:t>。</w:t>
      </w:r>
    </w:p>
    <w:p w14:paraId="2C73AE4F" w14:textId="77777777" w:rsidR="006651EC" w:rsidRDefault="002D5D0E">
      <w:pPr>
        <w:pStyle w:val="2"/>
      </w:pPr>
      <w:bookmarkStart w:id="10" w:name="_Toc2844"/>
      <w:bookmarkStart w:id="11" w:name="_Toc239001631"/>
      <w:r>
        <w:t xml:space="preserve">2.2 </w:t>
      </w:r>
      <w:r>
        <w:t>主要工作过程</w:t>
      </w:r>
      <w:bookmarkEnd w:id="10"/>
      <w:bookmarkEnd w:id="11"/>
    </w:p>
    <w:p w14:paraId="6CF2E124" w14:textId="77777777" w:rsidR="006651EC" w:rsidRDefault="002D5D0E">
      <w:pPr>
        <w:ind w:firstLine="480"/>
      </w:pPr>
      <w:bookmarkStart w:id="12" w:name="_Toc26150"/>
      <w:r>
        <w:rPr>
          <w:rFonts w:hint="eastAsia"/>
        </w:rPr>
        <w:t>（</w:t>
      </w:r>
      <w:r>
        <w:rPr>
          <w:rFonts w:hint="eastAsia"/>
        </w:rPr>
        <w:t>1</w:t>
      </w:r>
      <w:r>
        <w:rPr>
          <w:rFonts w:hint="eastAsia"/>
        </w:rPr>
        <w:t>）本标准编制任务于</w:t>
      </w:r>
      <w:r>
        <w:rPr>
          <w:rFonts w:hint="eastAsia"/>
        </w:rPr>
        <w:t>2025</w:t>
      </w:r>
      <w:r>
        <w:rPr>
          <w:rFonts w:hint="eastAsia"/>
        </w:rPr>
        <w:t>年</w:t>
      </w:r>
      <w:r>
        <w:rPr>
          <w:rFonts w:hint="eastAsia"/>
        </w:rPr>
        <w:t>1</w:t>
      </w:r>
      <w:r>
        <w:rPr>
          <w:rFonts w:hint="eastAsia"/>
        </w:rPr>
        <w:t>月正式启动。任务启动后，项目牵头单位迅速组建《生态清淤评估技术指南》标准编写组，吸纳长期从事生态清淤技术研究、工程实践与评估体系研究的专业技术人员组成核心编制团队。编写组结合标准编制目标明确各成员任务分工、压实岗位职责，梳理编制工作重难点，统筹整体工作进度，为后续标准编制、技术研究、文稿撰写等系列工作有序开展提供组织保障。</w:t>
      </w:r>
    </w:p>
    <w:p w14:paraId="3CB4171E" w14:textId="77777777" w:rsidR="006651EC" w:rsidRDefault="002D5D0E">
      <w:pPr>
        <w:ind w:firstLine="480"/>
      </w:pPr>
      <w:r>
        <w:rPr>
          <w:rFonts w:hint="eastAsia"/>
        </w:rPr>
        <w:t>（</w:t>
      </w:r>
      <w:r>
        <w:rPr>
          <w:rFonts w:hint="eastAsia"/>
        </w:rPr>
        <w:t>2</w:t>
      </w:r>
      <w:r>
        <w:rPr>
          <w:rFonts w:hint="eastAsia"/>
        </w:rPr>
        <w:t>）</w:t>
      </w:r>
      <w:r>
        <w:rPr>
          <w:rFonts w:hint="eastAsia"/>
        </w:rPr>
        <w:t>2025</w:t>
      </w:r>
      <w:r>
        <w:rPr>
          <w:rFonts w:hint="eastAsia"/>
        </w:rPr>
        <w:t>年</w:t>
      </w:r>
      <w:r>
        <w:rPr>
          <w:rFonts w:hint="eastAsia"/>
        </w:rPr>
        <w:t>1</w:t>
      </w:r>
      <w:r>
        <w:rPr>
          <w:rFonts w:hint="eastAsia"/>
        </w:rPr>
        <w:t>月至</w:t>
      </w:r>
      <w:r>
        <w:rPr>
          <w:rFonts w:hint="eastAsia"/>
        </w:rPr>
        <w:t>3</w:t>
      </w:r>
      <w:r>
        <w:rPr>
          <w:rFonts w:hint="eastAsia"/>
        </w:rPr>
        <w:t>月，编写组系统开展国内外相关标准、技术规范、科研文献、工程案例的收集与梳理工作。全面调研当前生态清淤技术、清淤效果评估、水生态修复评价相关标准现状，梳理现有规范体系的优势与不足，明确本指南编制的必要性、适用场景与技术定位。结合行业发展需求确立标准编制指导思想，严格按照团体标准编制程序，拟定完整的编制方案与阶段性工作计划。</w:t>
      </w:r>
    </w:p>
    <w:p w14:paraId="63E7A93F" w14:textId="77777777" w:rsidR="006651EC" w:rsidRDefault="002D5D0E">
      <w:pPr>
        <w:ind w:firstLine="480"/>
      </w:pPr>
      <w:r>
        <w:rPr>
          <w:rFonts w:hint="eastAsia"/>
        </w:rPr>
        <w:t>（</w:t>
      </w:r>
      <w:r>
        <w:rPr>
          <w:rFonts w:hint="eastAsia"/>
        </w:rPr>
        <w:t>3</w:t>
      </w:r>
      <w:r>
        <w:rPr>
          <w:rFonts w:hint="eastAsia"/>
        </w:rPr>
        <w:t>）在资料调研基础上，编写组深入研究本标准的编制原则、适用范围、核心技术内容及框架体系，系统梳理本标准与现行法律法规、行业标准的衔接关系。通过对标现有技术体系、结合实际工程应用场景、开展技术比对分析，对收集的文献资料、技术参数进行梳理核验与适用性论证，逐步完善标准核心技术条</w:t>
      </w:r>
      <w:r>
        <w:rPr>
          <w:rFonts w:hint="eastAsia"/>
        </w:rPr>
        <w:lastRenderedPageBreak/>
        <w:t>款，完成《生态清淤评估技术指南》标准草案初稿编制工作。</w:t>
      </w:r>
    </w:p>
    <w:p w14:paraId="012A89E9" w14:textId="6424D201" w:rsidR="006651EC" w:rsidRDefault="002D5D0E">
      <w:pPr>
        <w:ind w:firstLine="480"/>
      </w:pPr>
      <w:r>
        <w:rPr>
          <w:rFonts w:hint="eastAsia"/>
        </w:rPr>
        <w:t>（</w:t>
      </w:r>
      <w:r w:rsidR="001A4E9B">
        <w:rPr>
          <w:rFonts w:hint="eastAsia"/>
        </w:rPr>
        <w:t>4</w:t>
      </w:r>
      <w:r>
        <w:rPr>
          <w:rFonts w:hint="eastAsia"/>
        </w:rPr>
        <w:t>）开展标准立项审查工作</w:t>
      </w:r>
    </w:p>
    <w:p w14:paraId="57F94F57" w14:textId="43133074" w:rsidR="006651EC" w:rsidRDefault="002D5D0E">
      <w:pPr>
        <w:ind w:firstLine="480"/>
      </w:pPr>
      <w:r>
        <w:rPr>
          <w:rFonts w:hint="eastAsia"/>
        </w:rPr>
        <w:t>2025</w:t>
      </w:r>
      <w:r>
        <w:rPr>
          <w:rFonts w:hint="eastAsia"/>
        </w:rPr>
        <w:t>年</w:t>
      </w:r>
      <w:r>
        <w:rPr>
          <w:rFonts w:hint="eastAsia"/>
        </w:rPr>
        <w:t>4</w:t>
      </w:r>
      <w:r>
        <w:rPr>
          <w:rFonts w:hint="eastAsia"/>
        </w:rPr>
        <w:t>月</w:t>
      </w:r>
      <w:r>
        <w:rPr>
          <w:rFonts w:hint="eastAsia"/>
        </w:rPr>
        <w:t>22</w:t>
      </w:r>
      <w:r>
        <w:rPr>
          <w:rFonts w:hint="eastAsia"/>
        </w:rPr>
        <w:t>日，中国海洋学会海洋标准化分会以视频会议方式主持召开《生态清淤评估技术指南》团体标准立项审查会。会议邀请</w:t>
      </w:r>
      <w:r>
        <w:rPr>
          <w:rFonts w:hint="eastAsia"/>
        </w:rPr>
        <w:t>5</w:t>
      </w:r>
      <w:r>
        <w:rPr>
          <w:rFonts w:hint="eastAsia"/>
        </w:rPr>
        <w:t>名专家组成审查组。专家组认真听取了标准立项汇报，全面审议标准立项申请全套材料，围绕标准编制必要性、技术可行性、框架合理性、行业应用价值开展质询与集中讨论，最终形成正式立项审查意见，同意本标准立项编制，同时提出将标准名称改为《</w:t>
      </w:r>
      <w:r w:rsidR="001A4E9B">
        <w:rPr>
          <w:rFonts w:hint="eastAsia"/>
        </w:rPr>
        <w:t>入海河口</w:t>
      </w:r>
      <w:r>
        <w:rPr>
          <w:rFonts w:hint="eastAsia"/>
        </w:rPr>
        <w:t>生态清淤评估技术规程》。</w:t>
      </w:r>
    </w:p>
    <w:p w14:paraId="12659014" w14:textId="5AAE3DFE" w:rsidR="006651EC" w:rsidRDefault="002D5D0E">
      <w:pPr>
        <w:ind w:firstLine="480"/>
      </w:pPr>
      <w:r>
        <w:rPr>
          <w:rFonts w:hint="eastAsia"/>
          <w:lang w:bidi="ar"/>
        </w:rPr>
        <w:t>（</w:t>
      </w:r>
      <w:r w:rsidR="001A4E9B">
        <w:rPr>
          <w:rFonts w:hint="eastAsia"/>
          <w:lang w:bidi="ar"/>
        </w:rPr>
        <w:t>5</w:t>
      </w:r>
      <w:r>
        <w:rPr>
          <w:rFonts w:hint="eastAsia"/>
          <w:lang w:bidi="ar"/>
        </w:rPr>
        <w:t>）</w:t>
      </w:r>
      <w:r>
        <w:rPr>
          <w:lang w:bidi="ar"/>
        </w:rPr>
        <w:t>202</w:t>
      </w:r>
      <w:r>
        <w:rPr>
          <w:rFonts w:hint="eastAsia"/>
          <w:lang w:bidi="ar"/>
        </w:rPr>
        <w:t>6</w:t>
      </w:r>
      <w:r>
        <w:rPr>
          <w:rFonts w:hint="eastAsia"/>
          <w:lang w:bidi="ar"/>
        </w:rPr>
        <w:t>年</w:t>
      </w:r>
      <w:r w:rsidR="000B29E8">
        <w:rPr>
          <w:rFonts w:hint="eastAsia"/>
          <w:lang w:bidi="ar"/>
        </w:rPr>
        <w:t>8</w:t>
      </w:r>
      <w:r>
        <w:rPr>
          <w:rFonts w:hint="eastAsia"/>
          <w:lang w:bidi="ar"/>
        </w:rPr>
        <w:t>月，根据立项审查会专家意见，编制组对草案进行了修改完善，形成了《</w:t>
      </w:r>
      <w:r w:rsidR="001A4E9B">
        <w:rPr>
          <w:rFonts w:hint="eastAsia"/>
          <w:lang w:bidi="ar"/>
        </w:rPr>
        <w:t>入海河口</w:t>
      </w:r>
      <w:r>
        <w:rPr>
          <w:rFonts w:hint="eastAsia"/>
          <w:lang w:bidi="ar"/>
        </w:rPr>
        <w:t>生态清淤评估技术规程》（征求意见稿）</w:t>
      </w:r>
      <w:r>
        <w:rPr>
          <w:rFonts w:hint="eastAsia"/>
          <w:szCs w:val="20"/>
          <w:lang w:bidi="ar"/>
        </w:rPr>
        <w:t>。</w:t>
      </w:r>
    </w:p>
    <w:p w14:paraId="5D551B8B" w14:textId="77777777" w:rsidR="006651EC" w:rsidRDefault="002D5D0E" w:rsidP="00475666">
      <w:pPr>
        <w:pStyle w:val="2"/>
      </w:pPr>
      <w:bookmarkStart w:id="13" w:name="_Toc239001632"/>
      <w:r>
        <w:t xml:space="preserve">2.3 </w:t>
      </w:r>
      <w:r>
        <w:t>标准主要起草人及其所做的工作</w:t>
      </w:r>
      <w:bookmarkEnd w:id="12"/>
      <w:bookmarkEnd w:id="13"/>
    </w:p>
    <w:p w14:paraId="3766E3DD" w14:textId="4BE8E3F8" w:rsidR="006651EC" w:rsidRDefault="00685843">
      <w:pPr>
        <w:snapToGrid w:val="0"/>
        <w:spacing w:line="520" w:lineRule="exact"/>
        <w:ind w:firstLine="480"/>
        <w:rPr>
          <w:kern w:val="0"/>
        </w:rPr>
      </w:pPr>
      <w:bookmarkStart w:id="14" w:name="_Toc412"/>
      <w:r w:rsidRPr="00685843">
        <w:rPr>
          <w:kern w:val="0"/>
        </w:rPr>
        <w:t>本标准起草人为王维、杨帆、谢绵测、彭伟图、王智罡、陈思杨、</w:t>
      </w:r>
      <w:r w:rsidR="00CF11F5">
        <w:rPr>
          <w:rFonts w:hint="eastAsia"/>
          <w:kern w:val="0"/>
        </w:rPr>
        <w:t>王自明、</w:t>
      </w:r>
      <w:r w:rsidRPr="00685843">
        <w:rPr>
          <w:kern w:val="0"/>
        </w:rPr>
        <w:t>韩宇、刘勇、董伟良、叶观琼、许开平、周小峰、寿鹿、陆胤。其中王维主要负责标准策划与研究工作，主导标准主要内容编撰、整体逻辑结构和框架设计，以及全文统稿工作；杨帆主要负责标准核心技术内容的制定与修订完善工作；谢绵测、王智罡主要负责标准技术指导，牵头开展标准内容梳理及技术要求章节的编写工作；彭伟图、周小峰、许开平共同参与标准内容梳理、技术要求章节编写，全程配合完成标准的修改与完善等相关工作；陈思杨、韩宇、</w:t>
      </w:r>
      <w:r w:rsidR="00CF11F5">
        <w:rPr>
          <w:rFonts w:hint="eastAsia"/>
          <w:kern w:val="0"/>
        </w:rPr>
        <w:t>王自明、</w:t>
      </w:r>
      <w:r w:rsidRPr="00685843">
        <w:rPr>
          <w:kern w:val="0"/>
        </w:rPr>
        <w:t>刘勇、董伟良、叶观琼、寿鹿、陆胤共同参与标准相关资料的收集、整理与分析工作，协助开展标准技术内容的论证与完善，并配合完成标准的修改、校核等相关工作</w:t>
      </w:r>
      <w:r w:rsidR="002D5D0E">
        <w:rPr>
          <w:rFonts w:hint="eastAsia"/>
          <w:kern w:val="0"/>
        </w:rPr>
        <w:t>。</w:t>
      </w:r>
    </w:p>
    <w:p w14:paraId="01406C6E" w14:textId="46593FBA" w:rsidR="006651EC" w:rsidRDefault="002D5D0E">
      <w:pPr>
        <w:pStyle w:val="1"/>
      </w:pPr>
      <w:bookmarkStart w:id="15" w:name="_Toc239001633"/>
      <w:r>
        <w:t>3</w:t>
      </w:r>
      <w:bookmarkEnd w:id="14"/>
      <w:r w:rsidR="00C67879" w:rsidRPr="00C67879">
        <w:t>标准编制原则和标准主要内容</w:t>
      </w:r>
      <w:bookmarkEnd w:id="15"/>
    </w:p>
    <w:p w14:paraId="1F8C74F4" w14:textId="77777777" w:rsidR="006651EC" w:rsidRDefault="002D5D0E">
      <w:pPr>
        <w:pStyle w:val="2"/>
      </w:pPr>
      <w:bookmarkStart w:id="16" w:name="_Toc239001634"/>
      <w:r>
        <w:rPr>
          <w:rFonts w:hint="eastAsia"/>
        </w:rPr>
        <w:t>3.1</w:t>
      </w:r>
      <w:r>
        <w:rPr>
          <w:rFonts w:hint="eastAsia"/>
        </w:rPr>
        <w:t>编制原则</w:t>
      </w:r>
      <w:bookmarkEnd w:id="16"/>
    </w:p>
    <w:p w14:paraId="6BE3738A" w14:textId="38B19054" w:rsidR="00E8215D" w:rsidRDefault="00E8215D" w:rsidP="00E8215D">
      <w:pPr>
        <w:ind w:firstLine="480"/>
      </w:pPr>
      <w:r>
        <w:rPr>
          <w:rFonts w:hint="eastAsia"/>
        </w:rPr>
        <w:t>本标准严格依据</w:t>
      </w:r>
      <w:r>
        <w:rPr>
          <w:rFonts w:hint="eastAsia"/>
        </w:rPr>
        <w:t>GB/T 1.1-2020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部分：标准化文件的结构和起草规则》开展编制工作，编制全过程遵循统一性、协调性、适用性、一致性、规范性基础要求，立足先进性、科学性、合理性与可操作性开展条文设计。</w:t>
      </w:r>
    </w:p>
    <w:p w14:paraId="10640949" w14:textId="752AF80E" w:rsidR="006651EC" w:rsidRDefault="00E8215D">
      <w:pPr>
        <w:ind w:firstLine="480"/>
      </w:pPr>
      <w:r>
        <w:rPr>
          <w:rFonts w:hint="eastAsia"/>
        </w:rPr>
        <w:t>标准坚持生态优先、统筹兼顾，全部评估流程、指标筛选及判定方法均以保</w:t>
      </w:r>
      <w:r>
        <w:rPr>
          <w:rFonts w:hint="eastAsia"/>
        </w:rPr>
        <w:lastRenderedPageBreak/>
        <w:t>护入海河口原水生态系统结构与核心功能为首要目标，同步兼顾水资源利用、沿岸区域经济社会可持续发展等多元现实需求；坚持理论科研与工程实操相结合，充分吸纳国内外底泥环境、水生生态修复、河口清淤领域成熟理论、试验数据及沿海各地工程实践成果，保障评价体系客观严谨，各技术环节贴合现行流域、海洋水环境管控政策与考核指标，形成便于落地执行的评估流程与计算方法，适配水环境常态化管理工作需要。</w:t>
      </w:r>
    </w:p>
    <w:p w14:paraId="68C4EC71" w14:textId="2B61B9A2" w:rsidR="006651EC" w:rsidRDefault="002D5D0E">
      <w:pPr>
        <w:pStyle w:val="2"/>
      </w:pPr>
      <w:bookmarkStart w:id="17" w:name="_Toc239001635"/>
      <w:r>
        <w:rPr>
          <w:rFonts w:hint="eastAsia"/>
        </w:rPr>
        <w:t>3.</w:t>
      </w:r>
      <w:r w:rsidR="00F14002">
        <w:rPr>
          <w:rFonts w:hint="eastAsia"/>
        </w:rPr>
        <w:t>2</w:t>
      </w:r>
      <w:r>
        <w:rPr>
          <w:rFonts w:hint="eastAsia"/>
        </w:rPr>
        <w:t>编制方法</w:t>
      </w:r>
      <w:bookmarkEnd w:id="17"/>
    </w:p>
    <w:p w14:paraId="65AF8A5C" w14:textId="2A363690" w:rsidR="006651EC" w:rsidRDefault="002D5D0E">
      <w:pPr>
        <w:snapToGrid w:val="0"/>
        <w:spacing w:line="520" w:lineRule="exact"/>
        <w:ind w:firstLine="480"/>
        <w:rPr>
          <w:kern w:val="0"/>
        </w:rPr>
      </w:pPr>
      <w:r>
        <w:rPr>
          <w:rFonts w:hint="eastAsia"/>
          <w:kern w:val="0"/>
        </w:rPr>
        <w:t>《</w:t>
      </w:r>
      <w:r w:rsidR="003F52D9">
        <w:rPr>
          <w:rFonts w:hint="eastAsia"/>
          <w:kern w:val="0"/>
        </w:rPr>
        <w:t>入海河口</w:t>
      </w:r>
      <w:r>
        <w:rPr>
          <w:rFonts w:hint="eastAsia"/>
          <w:kern w:val="0"/>
        </w:rPr>
        <w:t>生态清淤评估技术</w:t>
      </w:r>
      <w:r w:rsidR="003F52D9">
        <w:rPr>
          <w:rFonts w:hint="eastAsia"/>
          <w:kern w:val="0"/>
        </w:rPr>
        <w:t>规程</w:t>
      </w:r>
      <w:r>
        <w:rPr>
          <w:rFonts w:hint="eastAsia"/>
          <w:kern w:val="0"/>
        </w:rPr>
        <w:t>》编制综合采用政策标准梳理、文献与技术调研、专家咨询结合工程实证三类核心方法，层层递进完成标准框架搭建、技术条款打磨与落地性校验，具体说明如下：</w:t>
      </w:r>
    </w:p>
    <w:p w14:paraId="65D57C30" w14:textId="77777777" w:rsidR="003F52D9" w:rsidRPr="003F52D9" w:rsidRDefault="003F52D9" w:rsidP="003F52D9">
      <w:pPr>
        <w:snapToGrid w:val="0"/>
        <w:spacing w:line="520" w:lineRule="exact"/>
        <w:ind w:firstLine="480"/>
        <w:rPr>
          <w:kern w:val="0"/>
        </w:rPr>
      </w:pPr>
      <w:r w:rsidRPr="003F52D9">
        <w:rPr>
          <w:rFonts w:hint="eastAsia"/>
          <w:kern w:val="0"/>
        </w:rPr>
        <w:t>（</w:t>
      </w:r>
      <w:r w:rsidRPr="003F52D9">
        <w:rPr>
          <w:rFonts w:hint="eastAsia"/>
          <w:kern w:val="0"/>
        </w:rPr>
        <w:t>1</w:t>
      </w:r>
      <w:r w:rsidRPr="003F52D9">
        <w:rPr>
          <w:rFonts w:hint="eastAsia"/>
          <w:kern w:val="0"/>
        </w:rPr>
        <w:t>）政策标准梳理分析法</w:t>
      </w:r>
    </w:p>
    <w:p w14:paraId="4A0A2A62" w14:textId="77777777" w:rsidR="003F52D9" w:rsidRPr="003F52D9" w:rsidRDefault="003F52D9" w:rsidP="003F52D9">
      <w:pPr>
        <w:snapToGrid w:val="0"/>
        <w:spacing w:line="520" w:lineRule="exact"/>
        <w:ind w:firstLine="480"/>
        <w:rPr>
          <w:kern w:val="0"/>
        </w:rPr>
      </w:pPr>
      <w:r w:rsidRPr="003F52D9">
        <w:rPr>
          <w:rFonts w:hint="eastAsia"/>
          <w:kern w:val="0"/>
        </w:rPr>
        <w:t>系统梳理陆海统筹污染防治、河口底泥治理、滨海水生态修复相关法律法规、部门规章及现有行业标准，对比现有河道、近海疏浚规范在入海河口咸淡水交互、潮汐往复场景下生态清淤综合评估的缺失与不足，结合河口近海水环境监管、岸线工程管控实际管理需求，明确本规程编制定位、适用范围与核心技术要点，保障规程与现行陆海环境管理制度、管控要求有效衔接。</w:t>
      </w:r>
    </w:p>
    <w:p w14:paraId="040CB8BE" w14:textId="77777777" w:rsidR="003F52D9" w:rsidRPr="003F52D9" w:rsidRDefault="003F52D9" w:rsidP="003F52D9">
      <w:pPr>
        <w:snapToGrid w:val="0"/>
        <w:spacing w:line="520" w:lineRule="exact"/>
        <w:ind w:firstLine="480"/>
        <w:rPr>
          <w:kern w:val="0"/>
        </w:rPr>
      </w:pPr>
      <w:r w:rsidRPr="003F52D9">
        <w:rPr>
          <w:rFonts w:hint="eastAsia"/>
          <w:kern w:val="0"/>
        </w:rPr>
        <w:t>（</w:t>
      </w:r>
      <w:r w:rsidRPr="003F52D9">
        <w:rPr>
          <w:rFonts w:hint="eastAsia"/>
          <w:kern w:val="0"/>
        </w:rPr>
        <w:t>2</w:t>
      </w:r>
      <w:r w:rsidRPr="003F52D9">
        <w:rPr>
          <w:rFonts w:hint="eastAsia"/>
          <w:kern w:val="0"/>
        </w:rPr>
        <w:t>）国内外文献技术调研法</w:t>
      </w:r>
    </w:p>
    <w:p w14:paraId="77180BB1" w14:textId="77777777" w:rsidR="003F52D9" w:rsidRPr="003F52D9" w:rsidRDefault="003F52D9" w:rsidP="003F52D9">
      <w:pPr>
        <w:snapToGrid w:val="0"/>
        <w:spacing w:line="520" w:lineRule="exact"/>
        <w:ind w:firstLine="480"/>
        <w:rPr>
          <w:kern w:val="0"/>
        </w:rPr>
      </w:pPr>
      <w:r w:rsidRPr="003F52D9">
        <w:rPr>
          <w:rFonts w:hint="eastAsia"/>
          <w:kern w:val="0"/>
        </w:rPr>
        <w:t>全面搜集河口底泥污染评价、滨海生态清淤工程、陆海交汇区水生态健康评估相关国内外专著、学术文献、工程技术报告，系统梳理现有评估指标、计算模型、分级判定方法的技术优劣与河口适配条件，总结入海河口清淤实施后底泥内源污染、近海水质、潮滩水生生态的演变规律，为构建适配河口特征的分层分类评估指标体系、综合指数计算方法提供理论与技术支撑。</w:t>
      </w:r>
    </w:p>
    <w:p w14:paraId="4C5C673D" w14:textId="77777777" w:rsidR="003F52D9" w:rsidRPr="003F52D9" w:rsidRDefault="003F52D9" w:rsidP="003F52D9">
      <w:pPr>
        <w:snapToGrid w:val="0"/>
        <w:spacing w:line="520" w:lineRule="exact"/>
        <w:ind w:firstLine="480"/>
        <w:rPr>
          <w:kern w:val="0"/>
        </w:rPr>
      </w:pPr>
      <w:r w:rsidRPr="003F52D9">
        <w:rPr>
          <w:rFonts w:hint="eastAsia"/>
          <w:kern w:val="0"/>
        </w:rPr>
        <w:t>（</w:t>
      </w:r>
      <w:r w:rsidRPr="003F52D9">
        <w:rPr>
          <w:rFonts w:hint="eastAsia"/>
          <w:kern w:val="0"/>
        </w:rPr>
        <w:t>3</w:t>
      </w:r>
      <w:r w:rsidRPr="003F52D9">
        <w:rPr>
          <w:rFonts w:hint="eastAsia"/>
          <w:kern w:val="0"/>
        </w:rPr>
        <w:t>）典型入海河口工程实证分析法</w:t>
      </w:r>
    </w:p>
    <w:p w14:paraId="3AD4BBBC" w14:textId="161ACEB5" w:rsidR="00C67879" w:rsidRDefault="00542531" w:rsidP="00542531">
      <w:pPr>
        <w:ind w:firstLine="480"/>
      </w:pPr>
      <w:bookmarkStart w:id="18" w:name="_Toc28816"/>
      <w:r w:rsidRPr="00542531">
        <w:t>选取椒江河口作为典型入海河口开展方法验证试验，布设调查站位开展现场采样、室内检测与综合评价验算，对本规程构建的指标体系、赋分规则、综合评价模型开展实操验证；结合试验反馈结果优化评估框架、指标分级阈值及相关技术条款，夯实规程实践基础，兼顾规程的科学严谨性与工程可操作性。</w:t>
      </w:r>
    </w:p>
    <w:p w14:paraId="52CAFEB5" w14:textId="77D5CC40" w:rsidR="00C67879" w:rsidRDefault="00C67879" w:rsidP="00C67879">
      <w:pPr>
        <w:pStyle w:val="2"/>
      </w:pPr>
      <w:bookmarkStart w:id="19" w:name="_Toc239001636"/>
      <w:r>
        <w:rPr>
          <w:rFonts w:hint="eastAsia"/>
        </w:rPr>
        <w:lastRenderedPageBreak/>
        <w:t xml:space="preserve">3.3 </w:t>
      </w:r>
      <w:r>
        <w:rPr>
          <w:rFonts w:hint="eastAsia"/>
        </w:rPr>
        <w:t>标准的主要内容</w:t>
      </w:r>
      <w:bookmarkEnd w:id="19"/>
    </w:p>
    <w:p w14:paraId="46E397BD" w14:textId="5D6ECEE5" w:rsidR="00DE1BB0" w:rsidRDefault="00DE1BB0" w:rsidP="00DE1BB0">
      <w:pPr>
        <w:ind w:firstLine="480"/>
      </w:pPr>
      <w:r>
        <w:rPr>
          <w:rFonts w:hint="eastAsia"/>
        </w:rPr>
        <w:t>依据</w:t>
      </w:r>
      <w:r>
        <w:rPr>
          <w:rFonts w:hint="eastAsia"/>
        </w:rPr>
        <w:t>GB/T 1.1-2020</w:t>
      </w:r>
      <w:r>
        <w:rPr>
          <w:rFonts w:hint="eastAsia"/>
        </w:rPr>
        <w:t>《标准化工作导则</w:t>
      </w:r>
      <w:r>
        <w:rPr>
          <w:rFonts w:hint="eastAsia"/>
        </w:rPr>
        <w:t xml:space="preserve"> </w:t>
      </w:r>
      <w:r>
        <w:rPr>
          <w:rFonts w:hint="eastAsia"/>
        </w:rPr>
        <w:t>第</w:t>
      </w:r>
      <w:r>
        <w:rPr>
          <w:rFonts w:hint="eastAsia"/>
        </w:rPr>
        <w:t>1</w:t>
      </w:r>
      <w:r>
        <w:rPr>
          <w:rFonts w:hint="eastAsia"/>
        </w:rPr>
        <w:t>部分：标准的结构和编写》，参照国家有关标准的结构形式，拟定了《</w:t>
      </w:r>
      <w:r w:rsidRPr="00DE1BB0">
        <w:t>入海河口生态清淤评估技术规程</w:t>
      </w:r>
      <w:r>
        <w:rPr>
          <w:rFonts w:hint="eastAsia"/>
        </w:rPr>
        <w:t>》标准结构。</w:t>
      </w:r>
    </w:p>
    <w:p w14:paraId="0836C9FA" w14:textId="28082A61" w:rsidR="00DE1BB0" w:rsidRDefault="00685843" w:rsidP="00DE1BB0">
      <w:pPr>
        <w:ind w:firstLine="480"/>
      </w:pPr>
      <w:r w:rsidRPr="00685843">
        <w:t>本标准正文由范围、规范性引用文件、术语和定义、评估原则、评估工作流程、评估指标体系、现场调查和数据收集、评估指标赋分、指标加权计算、生态清淤综合指数、评估等级判定、评估报告编制共</w:t>
      </w:r>
      <w:r w:rsidRPr="00685843">
        <w:t>12</w:t>
      </w:r>
      <w:r w:rsidRPr="00685843">
        <w:t>章组成，另外还包括</w:t>
      </w:r>
      <w:r w:rsidRPr="00685843">
        <w:t>1</w:t>
      </w:r>
      <w:r w:rsidRPr="00685843">
        <w:t>个资料性附录</w:t>
      </w:r>
      <w:r w:rsidR="00DE1BB0">
        <w:rPr>
          <w:rFonts w:hint="eastAsia"/>
        </w:rPr>
        <w:t>。</w:t>
      </w:r>
    </w:p>
    <w:p w14:paraId="0BEC4D19" w14:textId="5A643D6E" w:rsidR="00432466" w:rsidRDefault="00432466" w:rsidP="00432466">
      <w:pPr>
        <w:ind w:firstLine="480"/>
      </w:pPr>
      <w:r>
        <w:rPr>
          <w:rFonts w:hint="eastAsia"/>
        </w:rPr>
        <w:t>1</w:t>
      </w:r>
      <w:r w:rsidR="00C27795">
        <w:rPr>
          <w:rFonts w:hint="eastAsia"/>
        </w:rPr>
        <w:t>.</w:t>
      </w:r>
      <w:r>
        <w:rPr>
          <w:rFonts w:hint="eastAsia"/>
        </w:rPr>
        <w:t>范围</w:t>
      </w:r>
    </w:p>
    <w:p w14:paraId="4F75FF70" w14:textId="623282B6" w:rsidR="00C27795" w:rsidRDefault="00CF0191" w:rsidP="00CF0191">
      <w:pPr>
        <w:ind w:firstLine="480"/>
      </w:pPr>
      <w:r w:rsidRPr="00CF0191">
        <w:t>明确本标准提供入海河口生态清淤评估的技术方法与工作程序，适用于入海河口开展生态清淤项目的可行性评估工作。</w:t>
      </w:r>
    </w:p>
    <w:p w14:paraId="20368B0B" w14:textId="2DDE97E5" w:rsidR="00C27795" w:rsidRDefault="00C27795" w:rsidP="00C27795">
      <w:pPr>
        <w:ind w:firstLine="480"/>
      </w:pPr>
      <w:r>
        <w:rPr>
          <w:rFonts w:hint="eastAsia"/>
        </w:rPr>
        <w:t>2.</w:t>
      </w:r>
      <w:r>
        <w:rPr>
          <w:rFonts w:hint="eastAsia"/>
        </w:rPr>
        <w:t>规范性引用文件</w:t>
      </w:r>
    </w:p>
    <w:p w14:paraId="03566DCF" w14:textId="76D360C6" w:rsidR="00432466" w:rsidRDefault="00C27795" w:rsidP="0073224B">
      <w:pPr>
        <w:ind w:firstLine="480"/>
      </w:pPr>
      <w:r>
        <w:rPr>
          <w:rFonts w:hint="eastAsia"/>
        </w:rPr>
        <w:t>列出</w:t>
      </w:r>
      <w:r w:rsidR="00DE1BB0">
        <w:rPr>
          <w:rFonts w:hint="eastAsia"/>
        </w:rPr>
        <w:t>3</w:t>
      </w:r>
      <w:r w:rsidR="00DE1BB0" w:rsidRPr="00DE1BB0">
        <w:t>项标准及规范性文件，包括</w:t>
      </w:r>
      <w:r w:rsidR="0073224B">
        <w:rPr>
          <w:rFonts w:hint="eastAsia"/>
        </w:rPr>
        <w:t>GB 17378.4</w:t>
      </w:r>
      <w:r w:rsidR="00DE1BB0">
        <w:rPr>
          <w:rFonts w:hint="eastAsia"/>
        </w:rPr>
        <w:t>、</w:t>
      </w:r>
      <w:r w:rsidR="0073224B">
        <w:rPr>
          <w:rFonts w:hint="eastAsia"/>
        </w:rPr>
        <w:t>GB 17378.5</w:t>
      </w:r>
      <w:r w:rsidR="00DE1BB0">
        <w:rPr>
          <w:rFonts w:hint="eastAsia"/>
        </w:rPr>
        <w:t>、</w:t>
      </w:r>
      <w:r w:rsidR="0073224B">
        <w:rPr>
          <w:rFonts w:hint="eastAsia"/>
        </w:rPr>
        <w:t>GB 17378.7</w:t>
      </w:r>
      <w:r w:rsidR="00DE1BB0">
        <w:rPr>
          <w:rFonts w:hint="eastAsia"/>
        </w:rPr>
        <w:t>，</w:t>
      </w:r>
      <w:r w:rsidR="00DE1BB0" w:rsidRPr="00DE1BB0">
        <w:t>这些文件是方案编制中需要引用的基础技术规范</w:t>
      </w:r>
      <w:r w:rsidRPr="00C27795">
        <w:t>。</w:t>
      </w:r>
    </w:p>
    <w:p w14:paraId="25BF5ABE" w14:textId="46327CE6" w:rsidR="00432466" w:rsidRDefault="00C27795" w:rsidP="00432466">
      <w:pPr>
        <w:ind w:firstLine="480"/>
      </w:pPr>
      <w:r>
        <w:rPr>
          <w:rFonts w:hint="eastAsia"/>
        </w:rPr>
        <w:t>3.</w:t>
      </w:r>
      <w:r w:rsidR="00432466">
        <w:rPr>
          <w:rFonts w:hint="eastAsia"/>
        </w:rPr>
        <w:t>术语和定义</w:t>
      </w:r>
    </w:p>
    <w:p w14:paraId="3908FBDF" w14:textId="1411199A" w:rsidR="00432466" w:rsidRDefault="00432466" w:rsidP="00432466">
      <w:pPr>
        <w:ind w:firstLine="480"/>
      </w:pPr>
      <w:r>
        <w:rPr>
          <w:rFonts w:hint="eastAsia"/>
        </w:rPr>
        <w:t>规范了入海河口、生态清淤、生态清淤综合指数、水文指数、沉积物指数、水环境指数、水生态指数等核心专用术语。统一了本文件核心技术概念的表述口径，</w:t>
      </w:r>
      <w:r w:rsidR="00F96CD2">
        <w:rPr>
          <w:rFonts w:hint="eastAsia"/>
        </w:rPr>
        <w:t>梳理</w:t>
      </w:r>
      <w:r>
        <w:rPr>
          <w:rFonts w:hint="eastAsia"/>
        </w:rPr>
        <w:t>各评价维度的定义内涵，为全文技术条款、指标评价与综合判定提供统一、严谨的表述依据。</w:t>
      </w:r>
    </w:p>
    <w:p w14:paraId="28B3737A" w14:textId="39AE6D55" w:rsidR="00432466" w:rsidRDefault="00C27795" w:rsidP="00432466">
      <w:pPr>
        <w:ind w:firstLine="480"/>
      </w:pPr>
      <w:r>
        <w:rPr>
          <w:rFonts w:hint="eastAsia"/>
        </w:rPr>
        <w:t>4.</w:t>
      </w:r>
      <w:r w:rsidR="00F96CD2">
        <w:rPr>
          <w:rFonts w:hint="eastAsia"/>
        </w:rPr>
        <w:t>评估原则</w:t>
      </w:r>
    </w:p>
    <w:p w14:paraId="0761E484" w14:textId="0B796950" w:rsidR="00432466" w:rsidRDefault="00432466" w:rsidP="00432466">
      <w:pPr>
        <w:ind w:firstLine="480"/>
      </w:pPr>
      <w:r>
        <w:rPr>
          <w:rFonts w:hint="eastAsia"/>
        </w:rPr>
        <w:t>明确</w:t>
      </w:r>
      <w:r w:rsidR="00C27795">
        <w:rPr>
          <w:rFonts w:hint="eastAsia"/>
        </w:rPr>
        <w:t>入海河口</w:t>
      </w:r>
      <w:r>
        <w:rPr>
          <w:rFonts w:hint="eastAsia"/>
        </w:rPr>
        <w:t>生态清淤评估需遵循系统性、科学性、可操作性三大基本原则，兼顾水生态系统多要素耦合关系、指标量化客观性与工程落地实用性。</w:t>
      </w:r>
    </w:p>
    <w:p w14:paraId="51886395" w14:textId="0B104D7D" w:rsidR="00432466" w:rsidRDefault="00C27795" w:rsidP="00432466">
      <w:pPr>
        <w:ind w:firstLine="480"/>
      </w:pPr>
      <w:r>
        <w:rPr>
          <w:rFonts w:hint="eastAsia"/>
        </w:rPr>
        <w:t>5.</w:t>
      </w:r>
      <w:r w:rsidR="00432466">
        <w:rPr>
          <w:rFonts w:hint="eastAsia"/>
        </w:rPr>
        <w:t>评估</w:t>
      </w:r>
      <w:r w:rsidR="00CF0191">
        <w:rPr>
          <w:rFonts w:hint="eastAsia"/>
        </w:rPr>
        <w:t>工作流程</w:t>
      </w:r>
    </w:p>
    <w:p w14:paraId="13401681" w14:textId="239C6661" w:rsidR="00685843" w:rsidRDefault="002752DC" w:rsidP="00432466">
      <w:pPr>
        <w:ind w:firstLine="480"/>
      </w:pPr>
      <w:r w:rsidRPr="002752DC">
        <w:t>本章规定入海河口生态清淤评估的完整技术流程。评估以数据调查为基础，依次完成指标赋分、加权计算、综合指数计算、等级判定，最终形成评估报告，形成完整、可追溯的评估技术</w:t>
      </w:r>
      <w:r>
        <w:rPr>
          <w:rFonts w:hint="eastAsia"/>
        </w:rPr>
        <w:t>流程</w:t>
      </w:r>
      <w:r w:rsidRPr="002752DC">
        <w:t>。</w:t>
      </w:r>
    </w:p>
    <w:p w14:paraId="7DC97DA9" w14:textId="5FD25890" w:rsidR="00323FF3" w:rsidRDefault="002752DC" w:rsidP="00432466">
      <w:pPr>
        <w:ind w:firstLine="480"/>
      </w:pPr>
      <w:r>
        <w:rPr>
          <w:rFonts w:hint="eastAsia"/>
        </w:rPr>
        <w:t>6.</w:t>
      </w:r>
      <w:r w:rsidR="00323FF3">
        <w:rPr>
          <w:rFonts w:hint="eastAsia"/>
        </w:rPr>
        <w:t>评估指标体系</w:t>
      </w:r>
    </w:p>
    <w:p w14:paraId="78613DD7" w14:textId="587C6B15" w:rsidR="00432466" w:rsidRDefault="00432466" w:rsidP="00432466">
      <w:pPr>
        <w:ind w:firstLine="480"/>
      </w:pPr>
      <w:r>
        <w:rPr>
          <w:rFonts w:hint="eastAsia"/>
        </w:rPr>
        <w:t>基于</w:t>
      </w:r>
      <w:r w:rsidR="00507F63">
        <w:rPr>
          <w:rFonts w:hint="eastAsia"/>
        </w:rPr>
        <w:t>入海</w:t>
      </w:r>
      <w:r>
        <w:rPr>
          <w:rFonts w:hint="eastAsia"/>
        </w:rPr>
        <w:t>河口生态系统结构特征，构建涵盖水文、沉积物、水环境、水生态四大专项的三级分层评估指标体系，共计</w:t>
      </w:r>
      <w:r>
        <w:rPr>
          <w:rFonts w:hint="eastAsia"/>
        </w:rPr>
        <w:t>4</w:t>
      </w:r>
      <w:r w:rsidR="002752DC">
        <w:rPr>
          <w:rFonts w:hint="eastAsia"/>
        </w:rPr>
        <w:t>个</w:t>
      </w:r>
      <w:r>
        <w:rPr>
          <w:rFonts w:hint="eastAsia"/>
        </w:rPr>
        <w:t>专项指标、</w:t>
      </w:r>
      <w:r>
        <w:rPr>
          <w:rFonts w:hint="eastAsia"/>
        </w:rPr>
        <w:t>9</w:t>
      </w:r>
      <w:r w:rsidR="002752DC">
        <w:rPr>
          <w:rFonts w:hint="eastAsia"/>
        </w:rPr>
        <w:t>个</w:t>
      </w:r>
      <w:r>
        <w:rPr>
          <w:rFonts w:hint="eastAsia"/>
        </w:rPr>
        <w:t>分项指标、</w:t>
      </w:r>
      <w:r>
        <w:rPr>
          <w:rFonts w:hint="eastAsia"/>
        </w:rPr>
        <w:t>23</w:t>
      </w:r>
      <w:r w:rsidR="002752DC">
        <w:rPr>
          <w:rFonts w:hint="eastAsia"/>
        </w:rPr>
        <w:t>个</w:t>
      </w:r>
      <w:r>
        <w:rPr>
          <w:rFonts w:hint="eastAsia"/>
        </w:rPr>
        <w:t>基</w:t>
      </w:r>
      <w:r>
        <w:rPr>
          <w:rFonts w:hint="eastAsia"/>
        </w:rPr>
        <w:lastRenderedPageBreak/>
        <w:t>础评估指标，明确各指标权重、指标极性及适用条件。</w:t>
      </w:r>
    </w:p>
    <w:p w14:paraId="2D9C6B2A" w14:textId="6F12621C" w:rsidR="00C27795" w:rsidRDefault="00C27795" w:rsidP="00C27795">
      <w:pPr>
        <w:ind w:firstLine="480"/>
        <w:jc w:val="center"/>
      </w:pPr>
      <w:r>
        <w:rPr>
          <w:rFonts w:hint="eastAsia"/>
        </w:rPr>
        <w:t>表</w:t>
      </w:r>
      <w:r w:rsidR="00323FF3">
        <w:rPr>
          <w:rFonts w:hint="eastAsia"/>
        </w:rPr>
        <w:t>1</w:t>
      </w:r>
      <w:r>
        <w:rPr>
          <w:rFonts w:hint="eastAsia"/>
        </w:rPr>
        <w:t xml:space="preserve"> </w:t>
      </w:r>
      <w:r>
        <w:rPr>
          <w:rFonts w:hint="eastAsia"/>
        </w:rPr>
        <w:t>生态清淤评估推荐指标及权重</w:t>
      </w:r>
    </w:p>
    <w:tbl>
      <w:tblPr>
        <w:tblStyle w:val="11"/>
        <w:tblW w:w="0" w:type="auto"/>
        <w:jc w:val="center"/>
        <w:tblInd w:w="0" w:type="dxa"/>
        <w:tblBorders>
          <w:top w:val="single" w:sz="12" w:space="0" w:color="auto"/>
          <w:left w:val="single" w:sz="12" w:space="0" w:color="auto"/>
          <w:bottom w:val="single" w:sz="12" w:space="0" w:color="auto"/>
          <w:right w:val="single" w:sz="12" w:space="0" w:color="auto"/>
        </w:tblBorders>
        <w:tblCellMar>
          <w:left w:w="100" w:type="dxa"/>
          <w:right w:w="100" w:type="dxa"/>
        </w:tblCellMar>
        <w:tblLook w:val="04A0" w:firstRow="1" w:lastRow="0" w:firstColumn="1" w:lastColumn="0" w:noHBand="0" w:noVBand="1"/>
      </w:tblPr>
      <w:tblGrid>
        <w:gridCol w:w="809"/>
        <w:gridCol w:w="567"/>
        <w:gridCol w:w="1624"/>
        <w:gridCol w:w="979"/>
        <w:gridCol w:w="2801"/>
        <w:gridCol w:w="823"/>
        <w:gridCol w:w="903"/>
      </w:tblGrid>
      <w:tr w:rsidR="00F96CD2" w:rsidRPr="00F96CD2" w14:paraId="5822D4B9" w14:textId="77777777" w:rsidTr="002314B6">
        <w:trPr>
          <w:jc w:val="center"/>
        </w:trPr>
        <w:tc>
          <w:tcPr>
            <w:tcW w:w="809" w:type="dxa"/>
            <w:tcBorders>
              <w:top w:val="single" w:sz="12" w:space="0" w:color="auto"/>
              <w:left w:val="single" w:sz="12" w:space="0" w:color="auto"/>
              <w:bottom w:val="single" w:sz="8" w:space="0" w:color="auto"/>
              <w:right w:val="single" w:sz="4" w:space="0" w:color="auto"/>
            </w:tcBorders>
            <w:vAlign w:val="center"/>
            <w:hideMark/>
          </w:tcPr>
          <w:p w14:paraId="2DE3964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专项指标</w:t>
            </w:r>
          </w:p>
        </w:tc>
        <w:tc>
          <w:tcPr>
            <w:tcW w:w="567" w:type="dxa"/>
            <w:tcBorders>
              <w:top w:val="single" w:sz="12" w:space="0" w:color="auto"/>
              <w:left w:val="single" w:sz="4" w:space="0" w:color="auto"/>
              <w:bottom w:val="single" w:sz="8" w:space="0" w:color="auto"/>
              <w:right w:val="single" w:sz="4" w:space="0" w:color="auto"/>
            </w:tcBorders>
            <w:vAlign w:val="center"/>
            <w:hideMark/>
          </w:tcPr>
          <w:p w14:paraId="0F085D6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权重</w:t>
            </w:r>
          </w:p>
        </w:tc>
        <w:tc>
          <w:tcPr>
            <w:tcW w:w="1624" w:type="dxa"/>
            <w:tcBorders>
              <w:top w:val="single" w:sz="12" w:space="0" w:color="auto"/>
              <w:left w:val="single" w:sz="4" w:space="0" w:color="auto"/>
              <w:bottom w:val="single" w:sz="8" w:space="0" w:color="auto"/>
              <w:right w:val="single" w:sz="4" w:space="0" w:color="auto"/>
            </w:tcBorders>
            <w:vAlign w:val="center"/>
            <w:hideMark/>
          </w:tcPr>
          <w:p w14:paraId="4EF358A9"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分项指标</w:t>
            </w:r>
          </w:p>
        </w:tc>
        <w:tc>
          <w:tcPr>
            <w:tcW w:w="979" w:type="dxa"/>
            <w:tcBorders>
              <w:top w:val="single" w:sz="12" w:space="0" w:color="auto"/>
              <w:left w:val="single" w:sz="4" w:space="0" w:color="auto"/>
              <w:bottom w:val="single" w:sz="8" w:space="0" w:color="auto"/>
              <w:right w:val="single" w:sz="4" w:space="0" w:color="auto"/>
            </w:tcBorders>
            <w:vAlign w:val="center"/>
            <w:hideMark/>
          </w:tcPr>
          <w:p w14:paraId="689D1FF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权重</w:t>
            </w:r>
          </w:p>
        </w:tc>
        <w:tc>
          <w:tcPr>
            <w:tcW w:w="2801" w:type="dxa"/>
            <w:tcBorders>
              <w:top w:val="single" w:sz="12" w:space="0" w:color="auto"/>
              <w:left w:val="single" w:sz="4" w:space="0" w:color="auto"/>
              <w:bottom w:val="single" w:sz="8" w:space="0" w:color="auto"/>
              <w:right w:val="single" w:sz="4" w:space="0" w:color="auto"/>
            </w:tcBorders>
            <w:vAlign w:val="center"/>
            <w:hideMark/>
          </w:tcPr>
          <w:p w14:paraId="6EE10985"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评估指标</w:t>
            </w:r>
          </w:p>
        </w:tc>
        <w:tc>
          <w:tcPr>
            <w:tcW w:w="823" w:type="dxa"/>
            <w:tcBorders>
              <w:top w:val="single" w:sz="12" w:space="0" w:color="auto"/>
              <w:left w:val="single" w:sz="4" w:space="0" w:color="auto"/>
              <w:bottom w:val="single" w:sz="8" w:space="0" w:color="auto"/>
              <w:right w:val="single" w:sz="4" w:space="0" w:color="auto"/>
            </w:tcBorders>
            <w:vAlign w:val="center"/>
            <w:hideMark/>
          </w:tcPr>
          <w:p w14:paraId="4A3720A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权重</w:t>
            </w:r>
          </w:p>
        </w:tc>
        <w:tc>
          <w:tcPr>
            <w:tcW w:w="903" w:type="dxa"/>
            <w:tcBorders>
              <w:top w:val="single" w:sz="12" w:space="0" w:color="auto"/>
              <w:left w:val="single" w:sz="4" w:space="0" w:color="auto"/>
              <w:bottom w:val="single" w:sz="8" w:space="0" w:color="auto"/>
              <w:right w:val="single" w:sz="12" w:space="0" w:color="auto"/>
            </w:tcBorders>
            <w:vAlign w:val="center"/>
            <w:hideMark/>
          </w:tcPr>
          <w:p w14:paraId="3FEBE7A7"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b/>
                <w:bCs/>
                <w:color w:val="000000"/>
                <w:kern w:val="0"/>
                <w:sz w:val="18"/>
                <w:szCs w:val="18"/>
              </w:rPr>
              <w:t>指标极性</w:t>
            </w:r>
          </w:p>
        </w:tc>
      </w:tr>
      <w:tr w:rsidR="00F96CD2" w:rsidRPr="00F96CD2" w14:paraId="6A76DA51" w14:textId="77777777" w:rsidTr="002314B6">
        <w:trPr>
          <w:jc w:val="center"/>
        </w:trPr>
        <w:tc>
          <w:tcPr>
            <w:tcW w:w="809" w:type="dxa"/>
            <w:tcBorders>
              <w:top w:val="single" w:sz="8" w:space="0" w:color="auto"/>
              <w:left w:val="single" w:sz="12" w:space="0" w:color="auto"/>
              <w:bottom w:val="single" w:sz="4" w:space="0" w:color="auto"/>
              <w:right w:val="single" w:sz="4" w:space="0" w:color="auto"/>
            </w:tcBorders>
            <w:vAlign w:val="center"/>
            <w:hideMark/>
          </w:tcPr>
          <w:p w14:paraId="4B479BFE"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水文指数</w:t>
            </w:r>
          </w:p>
        </w:tc>
        <w:tc>
          <w:tcPr>
            <w:tcW w:w="567" w:type="dxa"/>
            <w:tcBorders>
              <w:top w:val="single" w:sz="8" w:space="0" w:color="auto"/>
              <w:left w:val="single" w:sz="4" w:space="0" w:color="auto"/>
              <w:bottom w:val="single" w:sz="4" w:space="0" w:color="auto"/>
              <w:right w:val="single" w:sz="4" w:space="0" w:color="auto"/>
            </w:tcBorders>
            <w:vAlign w:val="center"/>
            <w:hideMark/>
          </w:tcPr>
          <w:p w14:paraId="15383080"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1624" w:type="dxa"/>
            <w:tcBorders>
              <w:top w:val="single" w:sz="8" w:space="0" w:color="auto"/>
              <w:left w:val="single" w:sz="4" w:space="0" w:color="auto"/>
              <w:bottom w:val="single" w:sz="4" w:space="0" w:color="auto"/>
              <w:right w:val="single" w:sz="4" w:space="0" w:color="auto"/>
            </w:tcBorders>
            <w:vAlign w:val="center"/>
            <w:hideMark/>
          </w:tcPr>
          <w:p w14:paraId="27A94E15"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水文环境特征</w:t>
            </w:r>
          </w:p>
        </w:tc>
        <w:tc>
          <w:tcPr>
            <w:tcW w:w="979" w:type="dxa"/>
            <w:tcBorders>
              <w:top w:val="single" w:sz="8" w:space="0" w:color="auto"/>
              <w:left w:val="single" w:sz="4" w:space="0" w:color="auto"/>
              <w:bottom w:val="single" w:sz="4" w:space="0" w:color="auto"/>
              <w:right w:val="single" w:sz="4" w:space="0" w:color="auto"/>
            </w:tcBorders>
            <w:vAlign w:val="center"/>
            <w:hideMark/>
          </w:tcPr>
          <w:p w14:paraId="25253C3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1</w:t>
            </w:r>
          </w:p>
        </w:tc>
        <w:tc>
          <w:tcPr>
            <w:tcW w:w="2801" w:type="dxa"/>
            <w:tcBorders>
              <w:top w:val="single" w:sz="8" w:space="0" w:color="auto"/>
              <w:left w:val="single" w:sz="4" w:space="0" w:color="auto"/>
              <w:bottom w:val="single" w:sz="4" w:space="0" w:color="auto"/>
              <w:right w:val="single" w:sz="4" w:space="0" w:color="auto"/>
            </w:tcBorders>
            <w:vAlign w:val="center"/>
            <w:hideMark/>
          </w:tcPr>
          <w:p w14:paraId="2083F9DA"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换水周期</w:t>
            </w:r>
          </w:p>
        </w:tc>
        <w:tc>
          <w:tcPr>
            <w:tcW w:w="823" w:type="dxa"/>
            <w:tcBorders>
              <w:top w:val="single" w:sz="8" w:space="0" w:color="auto"/>
              <w:left w:val="single" w:sz="4" w:space="0" w:color="auto"/>
              <w:bottom w:val="single" w:sz="4" w:space="0" w:color="auto"/>
              <w:right w:val="single" w:sz="4" w:space="0" w:color="auto"/>
            </w:tcBorders>
            <w:vAlign w:val="center"/>
            <w:hideMark/>
          </w:tcPr>
          <w:p w14:paraId="0214DAF1"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1</w:t>
            </w:r>
          </w:p>
        </w:tc>
        <w:tc>
          <w:tcPr>
            <w:tcW w:w="903" w:type="dxa"/>
            <w:tcBorders>
              <w:top w:val="single" w:sz="8" w:space="0" w:color="auto"/>
              <w:left w:val="single" w:sz="4" w:space="0" w:color="auto"/>
              <w:bottom w:val="single" w:sz="4" w:space="0" w:color="auto"/>
              <w:right w:val="single" w:sz="12" w:space="0" w:color="auto"/>
            </w:tcBorders>
            <w:vAlign w:val="center"/>
            <w:hideMark/>
          </w:tcPr>
          <w:p w14:paraId="7520129C"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35D19030" w14:textId="77777777" w:rsidTr="002314B6">
        <w:trPr>
          <w:jc w:val="center"/>
        </w:trPr>
        <w:tc>
          <w:tcPr>
            <w:tcW w:w="809" w:type="dxa"/>
            <w:vMerge w:val="restart"/>
            <w:tcBorders>
              <w:top w:val="single" w:sz="4" w:space="0" w:color="auto"/>
              <w:left w:val="single" w:sz="12" w:space="0" w:color="auto"/>
              <w:bottom w:val="single" w:sz="4" w:space="0" w:color="auto"/>
              <w:right w:val="single" w:sz="4" w:space="0" w:color="auto"/>
            </w:tcBorders>
            <w:vAlign w:val="center"/>
            <w:hideMark/>
          </w:tcPr>
          <w:p w14:paraId="6CA238B4"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沉积物指数</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6664515"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0.3</w:t>
            </w:r>
          </w:p>
        </w:tc>
        <w:tc>
          <w:tcPr>
            <w:tcW w:w="1624" w:type="dxa"/>
            <w:tcBorders>
              <w:top w:val="single" w:sz="4" w:space="0" w:color="auto"/>
              <w:left w:val="single" w:sz="4" w:space="0" w:color="auto"/>
              <w:bottom w:val="single" w:sz="4" w:space="0" w:color="auto"/>
              <w:right w:val="single" w:sz="4" w:space="0" w:color="auto"/>
            </w:tcBorders>
            <w:vAlign w:val="center"/>
            <w:hideMark/>
          </w:tcPr>
          <w:p w14:paraId="3C74FB7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营养盐</w:t>
            </w:r>
          </w:p>
        </w:tc>
        <w:tc>
          <w:tcPr>
            <w:tcW w:w="979" w:type="dxa"/>
            <w:tcBorders>
              <w:top w:val="single" w:sz="4" w:space="0" w:color="auto"/>
              <w:left w:val="single" w:sz="4" w:space="0" w:color="auto"/>
              <w:bottom w:val="single" w:sz="4" w:space="0" w:color="auto"/>
              <w:right w:val="single" w:sz="4" w:space="0" w:color="auto"/>
            </w:tcBorders>
            <w:vAlign w:val="center"/>
            <w:hideMark/>
          </w:tcPr>
          <w:p w14:paraId="6EE0C179"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0.3</w:t>
            </w:r>
          </w:p>
        </w:tc>
        <w:tc>
          <w:tcPr>
            <w:tcW w:w="2801" w:type="dxa"/>
            <w:tcBorders>
              <w:top w:val="single" w:sz="4" w:space="0" w:color="auto"/>
              <w:left w:val="single" w:sz="4" w:space="0" w:color="auto"/>
              <w:bottom w:val="single" w:sz="4" w:space="0" w:color="auto"/>
              <w:right w:val="single" w:sz="4" w:space="0" w:color="auto"/>
            </w:tcBorders>
            <w:vAlign w:val="center"/>
            <w:hideMark/>
          </w:tcPr>
          <w:p w14:paraId="3F6B41B5"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总有机碳</w:t>
            </w:r>
          </w:p>
        </w:tc>
        <w:tc>
          <w:tcPr>
            <w:tcW w:w="823" w:type="dxa"/>
            <w:tcBorders>
              <w:top w:val="single" w:sz="4" w:space="0" w:color="auto"/>
              <w:left w:val="single" w:sz="4" w:space="0" w:color="auto"/>
              <w:bottom w:val="single" w:sz="4" w:space="0" w:color="auto"/>
              <w:right w:val="single" w:sz="4" w:space="0" w:color="auto"/>
            </w:tcBorders>
            <w:vAlign w:val="center"/>
            <w:hideMark/>
          </w:tcPr>
          <w:p w14:paraId="10C4953F"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1</w:t>
            </w:r>
          </w:p>
        </w:tc>
        <w:tc>
          <w:tcPr>
            <w:tcW w:w="903" w:type="dxa"/>
            <w:tcBorders>
              <w:top w:val="single" w:sz="4" w:space="0" w:color="auto"/>
              <w:left w:val="single" w:sz="4" w:space="0" w:color="auto"/>
              <w:bottom w:val="single" w:sz="4" w:space="0" w:color="auto"/>
              <w:right w:val="single" w:sz="12" w:space="0" w:color="auto"/>
            </w:tcBorders>
            <w:vAlign w:val="center"/>
            <w:hideMark/>
          </w:tcPr>
          <w:p w14:paraId="609E5937"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28DB1512"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439548EB"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11B4426"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val="restart"/>
            <w:tcBorders>
              <w:top w:val="single" w:sz="4" w:space="0" w:color="auto"/>
              <w:left w:val="single" w:sz="4" w:space="0" w:color="auto"/>
              <w:bottom w:val="single" w:sz="4" w:space="0" w:color="auto"/>
              <w:right w:val="single" w:sz="4" w:space="0" w:color="auto"/>
            </w:tcBorders>
            <w:vAlign w:val="center"/>
            <w:hideMark/>
          </w:tcPr>
          <w:p w14:paraId="1E124B69"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有毒有害物质</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14:paraId="3EE3BA4F"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0.3</w:t>
            </w:r>
          </w:p>
        </w:tc>
        <w:tc>
          <w:tcPr>
            <w:tcW w:w="2801" w:type="dxa"/>
            <w:tcBorders>
              <w:top w:val="single" w:sz="4" w:space="0" w:color="auto"/>
              <w:left w:val="single" w:sz="4" w:space="0" w:color="auto"/>
              <w:bottom w:val="single" w:sz="4" w:space="0" w:color="auto"/>
              <w:right w:val="single" w:sz="4" w:space="0" w:color="auto"/>
            </w:tcBorders>
            <w:vAlign w:val="center"/>
            <w:hideMark/>
          </w:tcPr>
          <w:p w14:paraId="416F474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硫化物</w:t>
            </w:r>
          </w:p>
        </w:tc>
        <w:tc>
          <w:tcPr>
            <w:tcW w:w="823" w:type="dxa"/>
            <w:tcBorders>
              <w:top w:val="single" w:sz="4" w:space="0" w:color="auto"/>
              <w:left w:val="single" w:sz="4" w:space="0" w:color="auto"/>
              <w:bottom w:val="single" w:sz="4" w:space="0" w:color="auto"/>
              <w:right w:val="single" w:sz="4" w:space="0" w:color="auto"/>
            </w:tcBorders>
            <w:vAlign w:val="center"/>
            <w:hideMark/>
          </w:tcPr>
          <w:p w14:paraId="650D91A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5499BC56"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25381531"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77C4279B"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B305DDE"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498DF187"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7A6C0"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3A45045E"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石油类</w:t>
            </w:r>
          </w:p>
        </w:tc>
        <w:tc>
          <w:tcPr>
            <w:tcW w:w="823" w:type="dxa"/>
            <w:tcBorders>
              <w:top w:val="single" w:sz="4" w:space="0" w:color="auto"/>
              <w:left w:val="single" w:sz="4" w:space="0" w:color="auto"/>
              <w:bottom w:val="single" w:sz="4" w:space="0" w:color="auto"/>
              <w:right w:val="single" w:sz="4" w:space="0" w:color="auto"/>
            </w:tcBorders>
            <w:vAlign w:val="center"/>
            <w:hideMark/>
          </w:tcPr>
          <w:p w14:paraId="04C56437"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23A2523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6F21056F"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7391C826"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AB8415B"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49B01B19"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0C5C29"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69384EB5" w14:textId="3824D806"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六六六</w:t>
            </w:r>
          </w:p>
        </w:tc>
        <w:tc>
          <w:tcPr>
            <w:tcW w:w="823" w:type="dxa"/>
            <w:tcBorders>
              <w:top w:val="single" w:sz="4" w:space="0" w:color="auto"/>
              <w:left w:val="single" w:sz="4" w:space="0" w:color="auto"/>
              <w:bottom w:val="single" w:sz="4" w:space="0" w:color="auto"/>
              <w:right w:val="single" w:sz="4" w:space="0" w:color="auto"/>
            </w:tcBorders>
            <w:vAlign w:val="center"/>
            <w:hideMark/>
          </w:tcPr>
          <w:p w14:paraId="30307056"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4D527360"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4BFFC7E4" w14:textId="77777777" w:rsidTr="002314B6">
        <w:trPr>
          <w:trHeight w:val="182"/>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60DA722D"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75B161E"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3C6C5AB6"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0BB7B"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7F851C78" w14:textId="78803E62"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滴滴涕</w:t>
            </w:r>
          </w:p>
        </w:tc>
        <w:tc>
          <w:tcPr>
            <w:tcW w:w="823" w:type="dxa"/>
            <w:tcBorders>
              <w:top w:val="single" w:sz="4" w:space="0" w:color="auto"/>
              <w:left w:val="single" w:sz="4" w:space="0" w:color="auto"/>
              <w:bottom w:val="single" w:sz="4" w:space="0" w:color="auto"/>
              <w:right w:val="single" w:sz="4" w:space="0" w:color="auto"/>
            </w:tcBorders>
            <w:vAlign w:val="center"/>
            <w:hideMark/>
          </w:tcPr>
          <w:p w14:paraId="30A2300A"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5919C0A1"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35E5743B"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2EA442C8"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EA2BB09"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73EE33F0"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B7F24"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2F5952C8" w14:textId="6AE63E7E"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多氯联苯</w:t>
            </w:r>
          </w:p>
        </w:tc>
        <w:tc>
          <w:tcPr>
            <w:tcW w:w="823" w:type="dxa"/>
            <w:tcBorders>
              <w:top w:val="single" w:sz="4" w:space="0" w:color="auto"/>
              <w:left w:val="single" w:sz="4" w:space="0" w:color="auto"/>
              <w:bottom w:val="single" w:sz="4" w:space="0" w:color="auto"/>
              <w:right w:val="single" w:sz="4" w:space="0" w:color="auto"/>
            </w:tcBorders>
            <w:vAlign w:val="center"/>
            <w:hideMark/>
          </w:tcPr>
          <w:p w14:paraId="10C9A02C"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22125F79"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5E0A38DF"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3EA8DC04"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F0D6476"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tcBorders>
              <w:top w:val="single" w:sz="4" w:space="0" w:color="auto"/>
              <w:left w:val="single" w:sz="4" w:space="0" w:color="auto"/>
              <w:bottom w:val="single" w:sz="4" w:space="0" w:color="auto"/>
              <w:right w:val="single" w:sz="4" w:space="0" w:color="auto"/>
            </w:tcBorders>
            <w:vAlign w:val="center"/>
            <w:hideMark/>
          </w:tcPr>
          <w:p w14:paraId="6FD3E8FE"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重金属</w:t>
            </w:r>
          </w:p>
        </w:tc>
        <w:tc>
          <w:tcPr>
            <w:tcW w:w="979" w:type="dxa"/>
            <w:tcBorders>
              <w:top w:val="single" w:sz="4" w:space="0" w:color="auto"/>
              <w:left w:val="single" w:sz="4" w:space="0" w:color="auto"/>
              <w:bottom w:val="single" w:sz="4" w:space="0" w:color="auto"/>
              <w:right w:val="single" w:sz="4" w:space="0" w:color="auto"/>
            </w:tcBorders>
            <w:vAlign w:val="center"/>
            <w:hideMark/>
          </w:tcPr>
          <w:p w14:paraId="2F9E484B"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66482E00"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综合潜在生态风险指数</w:t>
            </w:r>
            <w:r w:rsidRPr="002752DC">
              <w:rPr>
                <w:i/>
                <w:iCs/>
                <w:color w:val="000000"/>
                <w:sz w:val="18"/>
                <w:szCs w:val="18"/>
              </w:rPr>
              <w:t>RI</w:t>
            </w:r>
          </w:p>
        </w:tc>
        <w:tc>
          <w:tcPr>
            <w:tcW w:w="823" w:type="dxa"/>
            <w:tcBorders>
              <w:top w:val="single" w:sz="4" w:space="0" w:color="auto"/>
              <w:left w:val="single" w:sz="4" w:space="0" w:color="auto"/>
              <w:bottom w:val="single" w:sz="4" w:space="0" w:color="auto"/>
              <w:right w:val="single" w:sz="4" w:space="0" w:color="auto"/>
            </w:tcBorders>
            <w:vAlign w:val="center"/>
            <w:hideMark/>
          </w:tcPr>
          <w:p w14:paraId="7A199E26"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1</w:t>
            </w:r>
          </w:p>
        </w:tc>
        <w:tc>
          <w:tcPr>
            <w:tcW w:w="903" w:type="dxa"/>
            <w:tcBorders>
              <w:top w:val="single" w:sz="4" w:space="0" w:color="auto"/>
              <w:left w:val="single" w:sz="4" w:space="0" w:color="auto"/>
              <w:bottom w:val="single" w:sz="4" w:space="0" w:color="auto"/>
              <w:right w:val="single" w:sz="12" w:space="0" w:color="auto"/>
            </w:tcBorders>
            <w:vAlign w:val="center"/>
            <w:hideMark/>
          </w:tcPr>
          <w:p w14:paraId="43D5041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24FCAD25" w14:textId="77777777" w:rsidTr="002314B6">
        <w:trPr>
          <w:jc w:val="center"/>
        </w:trPr>
        <w:tc>
          <w:tcPr>
            <w:tcW w:w="809" w:type="dxa"/>
            <w:vMerge w:val="restart"/>
            <w:tcBorders>
              <w:top w:val="single" w:sz="4" w:space="0" w:color="auto"/>
              <w:left w:val="single" w:sz="12" w:space="0" w:color="auto"/>
              <w:bottom w:val="single" w:sz="4" w:space="0" w:color="auto"/>
              <w:right w:val="single" w:sz="4" w:space="0" w:color="auto"/>
            </w:tcBorders>
            <w:vAlign w:val="center"/>
            <w:hideMark/>
          </w:tcPr>
          <w:p w14:paraId="4934B966"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水环境指数</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6B95799"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1624" w:type="dxa"/>
            <w:tcBorders>
              <w:top w:val="single" w:sz="4" w:space="0" w:color="auto"/>
              <w:left w:val="single" w:sz="4" w:space="0" w:color="auto"/>
              <w:bottom w:val="single" w:sz="4" w:space="0" w:color="auto"/>
              <w:right w:val="single" w:sz="4" w:space="0" w:color="auto"/>
            </w:tcBorders>
            <w:vAlign w:val="center"/>
            <w:hideMark/>
          </w:tcPr>
          <w:p w14:paraId="0F623E6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水体营养水平</w:t>
            </w:r>
          </w:p>
        </w:tc>
        <w:tc>
          <w:tcPr>
            <w:tcW w:w="979" w:type="dxa"/>
            <w:tcBorders>
              <w:top w:val="single" w:sz="4" w:space="0" w:color="auto"/>
              <w:left w:val="single" w:sz="4" w:space="0" w:color="auto"/>
              <w:bottom w:val="single" w:sz="4" w:space="0" w:color="auto"/>
              <w:right w:val="single" w:sz="4" w:space="0" w:color="auto"/>
            </w:tcBorders>
            <w:vAlign w:val="center"/>
            <w:hideMark/>
          </w:tcPr>
          <w:p w14:paraId="46FFF91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0.5</w:t>
            </w:r>
          </w:p>
        </w:tc>
        <w:tc>
          <w:tcPr>
            <w:tcW w:w="2801" w:type="dxa"/>
            <w:tcBorders>
              <w:top w:val="single" w:sz="4" w:space="0" w:color="auto"/>
              <w:left w:val="single" w:sz="4" w:space="0" w:color="auto"/>
              <w:bottom w:val="single" w:sz="4" w:space="0" w:color="auto"/>
              <w:right w:val="single" w:sz="4" w:space="0" w:color="auto"/>
            </w:tcBorders>
            <w:vAlign w:val="center"/>
            <w:hideMark/>
          </w:tcPr>
          <w:p w14:paraId="65049A4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富营养评价指数</w:t>
            </w:r>
          </w:p>
        </w:tc>
        <w:tc>
          <w:tcPr>
            <w:tcW w:w="823" w:type="dxa"/>
            <w:tcBorders>
              <w:top w:val="single" w:sz="4" w:space="0" w:color="auto"/>
              <w:left w:val="single" w:sz="4" w:space="0" w:color="auto"/>
              <w:bottom w:val="single" w:sz="4" w:space="0" w:color="auto"/>
              <w:right w:val="single" w:sz="4" w:space="0" w:color="auto"/>
            </w:tcBorders>
            <w:vAlign w:val="center"/>
            <w:hideMark/>
          </w:tcPr>
          <w:p w14:paraId="7C9ED62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1</w:t>
            </w:r>
          </w:p>
        </w:tc>
        <w:tc>
          <w:tcPr>
            <w:tcW w:w="903" w:type="dxa"/>
            <w:tcBorders>
              <w:top w:val="single" w:sz="4" w:space="0" w:color="auto"/>
              <w:left w:val="single" w:sz="4" w:space="0" w:color="auto"/>
              <w:bottom w:val="single" w:sz="4" w:space="0" w:color="auto"/>
              <w:right w:val="single" w:sz="12" w:space="0" w:color="auto"/>
            </w:tcBorders>
            <w:vAlign w:val="center"/>
            <w:hideMark/>
          </w:tcPr>
          <w:p w14:paraId="748B7461"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48304639"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0C8B1A51"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F7D5FE7"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val="restart"/>
            <w:tcBorders>
              <w:top w:val="single" w:sz="4" w:space="0" w:color="auto"/>
              <w:left w:val="single" w:sz="4" w:space="0" w:color="auto"/>
              <w:bottom w:val="single" w:sz="4" w:space="0" w:color="auto"/>
              <w:right w:val="single" w:sz="4" w:space="0" w:color="auto"/>
            </w:tcBorders>
            <w:vAlign w:val="center"/>
            <w:hideMark/>
          </w:tcPr>
          <w:p w14:paraId="17D50FE4"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水质基本参数</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14:paraId="63CF51A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0.5</w:t>
            </w:r>
          </w:p>
        </w:tc>
        <w:tc>
          <w:tcPr>
            <w:tcW w:w="2801" w:type="dxa"/>
            <w:tcBorders>
              <w:top w:val="single" w:sz="4" w:space="0" w:color="auto"/>
              <w:left w:val="single" w:sz="4" w:space="0" w:color="auto"/>
              <w:bottom w:val="single" w:sz="4" w:space="0" w:color="auto"/>
              <w:right w:val="single" w:sz="4" w:space="0" w:color="auto"/>
            </w:tcBorders>
            <w:vAlign w:val="center"/>
            <w:hideMark/>
          </w:tcPr>
          <w:p w14:paraId="237D4E5D" w14:textId="5D9DAEAB"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化学需氧量</w:t>
            </w:r>
          </w:p>
        </w:tc>
        <w:tc>
          <w:tcPr>
            <w:tcW w:w="823" w:type="dxa"/>
            <w:tcBorders>
              <w:top w:val="single" w:sz="4" w:space="0" w:color="auto"/>
              <w:left w:val="single" w:sz="4" w:space="0" w:color="auto"/>
              <w:bottom w:val="single" w:sz="4" w:space="0" w:color="auto"/>
              <w:right w:val="single" w:sz="4" w:space="0" w:color="auto"/>
            </w:tcBorders>
            <w:vAlign w:val="center"/>
            <w:hideMark/>
          </w:tcPr>
          <w:p w14:paraId="19340A9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7C86532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5D78F68C"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7F02D0BF"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0F19A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20574B92"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AF335"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695129EB"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溶解氧</w:t>
            </w:r>
          </w:p>
        </w:tc>
        <w:tc>
          <w:tcPr>
            <w:tcW w:w="823" w:type="dxa"/>
            <w:tcBorders>
              <w:top w:val="single" w:sz="4" w:space="0" w:color="auto"/>
              <w:left w:val="single" w:sz="4" w:space="0" w:color="auto"/>
              <w:bottom w:val="single" w:sz="4" w:space="0" w:color="auto"/>
              <w:right w:val="single" w:sz="4" w:space="0" w:color="auto"/>
            </w:tcBorders>
            <w:vAlign w:val="center"/>
            <w:hideMark/>
          </w:tcPr>
          <w:p w14:paraId="69C20B4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543702F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2B533BCA"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049743A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A0A7179"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3DAFFDB5"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4DEEC"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0708D93B"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悬浮物</w:t>
            </w:r>
          </w:p>
        </w:tc>
        <w:tc>
          <w:tcPr>
            <w:tcW w:w="823" w:type="dxa"/>
            <w:tcBorders>
              <w:top w:val="single" w:sz="4" w:space="0" w:color="auto"/>
              <w:left w:val="single" w:sz="4" w:space="0" w:color="auto"/>
              <w:bottom w:val="single" w:sz="4" w:space="0" w:color="auto"/>
              <w:right w:val="single" w:sz="4" w:space="0" w:color="auto"/>
            </w:tcBorders>
            <w:vAlign w:val="center"/>
            <w:hideMark/>
          </w:tcPr>
          <w:p w14:paraId="7982699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1B190EA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520D9BF0"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33296D2E"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74E4B69"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71AFE2D8"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E614C"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6E075894"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无机氮</w:t>
            </w:r>
          </w:p>
        </w:tc>
        <w:tc>
          <w:tcPr>
            <w:tcW w:w="823" w:type="dxa"/>
            <w:tcBorders>
              <w:top w:val="single" w:sz="4" w:space="0" w:color="auto"/>
              <w:left w:val="single" w:sz="4" w:space="0" w:color="auto"/>
              <w:bottom w:val="single" w:sz="4" w:space="0" w:color="auto"/>
              <w:right w:val="single" w:sz="4" w:space="0" w:color="auto"/>
            </w:tcBorders>
            <w:vAlign w:val="center"/>
            <w:hideMark/>
          </w:tcPr>
          <w:p w14:paraId="2ADE19E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2594A1B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4A1084EC"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6F241C94"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769442A"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7C68D665"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5EA68"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612E9296"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活性磷酸盐</w:t>
            </w:r>
          </w:p>
        </w:tc>
        <w:tc>
          <w:tcPr>
            <w:tcW w:w="823" w:type="dxa"/>
            <w:tcBorders>
              <w:top w:val="single" w:sz="4" w:space="0" w:color="auto"/>
              <w:left w:val="single" w:sz="4" w:space="0" w:color="auto"/>
              <w:bottom w:val="single" w:sz="4" w:space="0" w:color="auto"/>
              <w:right w:val="single" w:sz="4" w:space="0" w:color="auto"/>
            </w:tcBorders>
            <w:vAlign w:val="center"/>
            <w:hideMark/>
          </w:tcPr>
          <w:p w14:paraId="52BA798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903" w:type="dxa"/>
            <w:tcBorders>
              <w:top w:val="single" w:sz="4" w:space="0" w:color="auto"/>
              <w:left w:val="single" w:sz="4" w:space="0" w:color="auto"/>
              <w:bottom w:val="single" w:sz="4" w:space="0" w:color="auto"/>
              <w:right w:val="single" w:sz="12" w:space="0" w:color="auto"/>
            </w:tcBorders>
            <w:vAlign w:val="center"/>
            <w:hideMark/>
          </w:tcPr>
          <w:p w14:paraId="56D5259B"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正向</w:t>
            </w:r>
          </w:p>
        </w:tc>
      </w:tr>
      <w:tr w:rsidR="00F96CD2" w:rsidRPr="00F96CD2" w14:paraId="01E010E6" w14:textId="77777777" w:rsidTr="002314B6">
        <w:trPr>
          <w:jc w:val="center"/>
        </w:trPr>
        <w:tc>
          <w:tcPr>
            <w:tcW w:w="809" w:type="dxa"/>
            <w:vMerge w:val="restart"/>
            <w:tcBorders>
              <w:top w:val="single" w:sz="4" w:space="0" w:color="auto"/>
              <w:left w:val="single" w:sz="12" w:space="0" w:color="auto"/>
              <w:bottom w:val="single" w:sz="4" w:space="0" w:color="auto"/>
              <w:right w:val="single" w:sz="4" w:space="0" w:color="auto"/>
            </w:tcBorders>
            <w:vAlign w:val="center"/>
            <w:hideMark/>
          </w:tcPr>
          <w:p w14:paraId="76C834D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水生态指数</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9A0E809"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0.3</w:t>
            </w:r>
          </w:p>
        </w:tc>
        <w:tc>
          <w:tcPr>
            <w:tcW w:w="1624" w:type="dxa"/>
            <w:tcBorders>
              <w:top w:val="single" w:sz="4" w:space="0" w:color="auto"/>
              <w:left w:val="single" w:sz="4" w:space="0" w:color="auto"/>
              <w:bottom w:val="single" w:sz="4" w:space="0" w:color="auto"/>
              <w:right w:val="single" w:sz="4" w:space="0" w:color="auto"/>
            </w:tcBorders>
            <w:vAlign w:val="center"/>
            <w:hideMark/>
          </w:tcPr>
          <w:p w14:paraId="2CF294E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浮游植物物种多样性</w:t>
            </w:r>
          </w:p>
        </w:tc>
        <w:tc>
          <w:tcPr>
            <w:tcW w:w="979" w:type="dxa"/>
            <w:tcBorders>
              <w:top w:val="single" w:sz="4" w:space="0" w:color="auto"/>
              <w:left w:val="single" w:sz="4" w:space="0" w:color="auto"/>
              <w:bottom w:val="single" w:sz="4" w:space="0" w:color="auto"/>
              <w:right w:val="single" w:sz="4" w:space="0" w:color="auto"/>
            </w:tcBorders>
            <w:vAlign w:val="center"/>
            <w:hideMark/>
          </w:tcPr>
          <w:p w14:paraId="7146866E"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w:t>
            </w:r>
          </w:p>
        </w:tc>
        <w:tc>
          <w:tcPr>
            <w:tcW w:w="2801" w:type="dxa"/>
            <w:tcBorders>
              <w:top w:val="single" w:sz="4" w:space="0" w:color="auto"/>
              <w:left w:val="single" w:sz="4" w:space="0" w:color="auto"/>
              <w:bottom w:val="single" w:sz="4" w:space="0" w:color="auto"/>
              <w:right w:val="single" w:sz="4" w:space="0" w:color="auto"/>
            </w:tcBorders>
            <w:vAlign w:val="center"/>
            <w:hideMark/>
          </w:tcPr>
          <w:p w14:paraId="39A00C1E"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浮游植物多样性指数</w:t>
            </w:r>
          </w:p>
        </w:tc>
        <w:tc>
          <w:tcPr>
            <w:tcW w:w="823" w:type="dxa"/>
            <w:tcBorders>
              <w:top w:val="single" w:sz="4" w:space="0" w:color="auto"/>
              <w:left w:val="single" w:sz="4" w:space="0" w:color="auto"/>
              <w:bottom w:val="single" w:sz="4" w:space="0" w:color="auto"/>
              <w:right w:val="single" w:sz="4" w:space="0" w:color="auto"/>
            </w:tcBorders>
            <w:vAlign w:val="center"/>
            <w:hideMark/>
          </w:tcPr>
          <w:p w14:paraId="4BFDB2F0"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1</w:t>
            </w:r>
          </w:p>
        </w:tc>
        <w:tc>
          <w:tcPr>
            <w:tcW w:w="903" w:type="dxa"/>
            <w:tcBorders>
              <w:top w:val="single" w:sz="4" w:space="0" w:color="auto"/>
              <w:left w:val="single" w:sz="4" w:space="0" w:color="auto"/>
              <w:bottom w:val="single" w:sz="4" w:space="0" w:color="auto"/>
              <w:right w:val="single" w:sz="12" w:space="0" w:color="auto"/>
            </w:tcBorders>
            <w:vAlign w:val="center"/>
            <w:hideMark/>
          </w:tcPr>
          <w:p w14:paraId="5EC68B6F"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1FC29E5D"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0BF4E66E"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4D38B725"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val="restart"/>
            <w:tcBorders>
              <w:top w:val="single" w:sz="4" w:space="0" w:color="auto"/>
              <w:left w:val="single" w:sz="4" w:space="0" w:color="auto"/>
              <w:bottom w:val="single" w:sz="4" w:space="0" w:color="auto"/>
              <w:right w:val="single" w:sz="4" w:space="0" w:color="auto"/>
            </w:tcBorders>
            <w:vAlign w:val="center"/>
            <w:hideMark/>
          </w:tcPr>
          <w:p w14:paraId="13D6E53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浮游动物物种多样性</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14:paraId="3624574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2B353901"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浮游动物丰度</w:t>
            </w:r>
          </w:p>
        </w:tc>
        <w:tc>
          <w:tcPr>
            <w:tcW w:w="823" w:type="dxa"/>
            <w:tcBorders>
              <w:top w:val="single" w:sz="4" w:space="0" w:color="auto"/>
              <w:left w:val="single" w:sz="4" w:space="0" w:color="auto"/>
              <w:bottom w:val="single" w:sz="4" w:space="0" w:color="auto"/>
              <w:right w:val="single" w:sz="4" w:space="0" w:color="auto"/>
            </w:tcBorders>
            <w:vAlign w:val="center"/>
            <w:hideMark/>
          </w:tcPr>
          <w:p w14:paraId="33D898A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17652ED7"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3FFA81E6"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0842085E"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847A290"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1F3452CB"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8FF7A"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324DBAF8"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浮游动物生物量</w:t>
            </w:r>
          </w:p>
        </w:tc>
        <w:tc>
          <w:tcPr>
            <w:tcW w:w="823" w:type="dxa"/>
            <w:tcBorders>
              <w:top w:val="single" w:sz="4" w:space="0" w:color="auto"/>
              <w:left w:val="single" w:sz="4" w:space="0" w:color="auto"/>
              <w:bottom w:val="single" w:sz="4" w:space="0" w:color="auto"/>
              <w:right w:val="single" w:sz="4" w:space="0" w:color="auto"/>
            </w:tcBorders>
            <w:vAlign w:val="center"/>
            <w:hideMark/>
          </w:tcPr>
          <w:p w14:paraId="6B0A9927"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10A25DF0"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1F4299AC"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085639DD"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EF6769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002FD47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5FABF"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08A1495C"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浮游动物种类丰富度指数</w:t>
            </w:r>
          </w:p>
        </w:tc>
        <w:tc>
          <w:tcPr>
            <w:tcW w:w="823" w:type="dxa"/>
            <w:tcBorders>
              <w:top w:val="single" w:sz="4" w:space="0" w:color="auto"/>
              <w:left w:val="single" w:sz="4" w:space="0" w:color="auto"/>
              <w:bottom w:val="single" w:sz="4" w:space="0" w:color="auto"/>
              <w:right w:val="single" w:sz="4" w:space="0" w:color="auto"/>
            </w:tcBorders>
            <w:vAlign w:val="center"/>
            <w:hideMark/>
          </w:tcPr>
          <w:p w14:paraId="2E87F35D"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308FFF51"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61DFF0FB"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590E2DC1"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FFE2FE4"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257FEB16"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A79BE"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0ACD443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浮游动物种类多样性指数</w:t>
            </w:r>
          </w:p>
        </w:tc>
        <w:tc>
          <w:tcPr>
            <w:tcW w:w="823" w:type="dxa"/>
            <w:tcBorders>
              <w:top w:val="single" w:sz="4" w:space="0" w:color="auto"/>
              <w:left w:val="single" w:sz="4" w:space="0" w:color="auto"/>
              <w:bottom w:val="single" w:sz="4" w:space="0" w:color="auto"/>
              <w:right w:val="single" w:sz="4" w:space="0" w:color="auto"/>
            </w:tcBorders>
            <w:vAlign w:val="center"/>
            <w:hideMark/>
          </w:tcPr>
          <w:p w14:paraId="7FBDE14A"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3278DDC1"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363F13C0"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672CAC0A"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7D0FA30"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val="restart"/>
            <w:tcBorders>
              <w:top w:val="single" w:sz="4" w:space="0" w:color="auto"/>
              <w:left w:val="single" w:sz="4" w:space="0" w:color="auto"/>
              <w:bottom w:val="single" w:sz="4" w:space="0" w:color="auto"/>
              <w:right w:val="single" w:sz="4" w:space="0" w:color="auto"/>
            </w:tcBorders>
            <w:vAlign w:val="center"/>
            <w:hideMark/>
          </w:tcPr>
          <w:p w14:paraId="671AD542"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大型底栖生物物种多样性</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14:paraId="0B742C4E"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02D4725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大型底栖生物栖息密度</w:t>
            </w:r>
          </w:p>
        </w:tc>
        <w:tc>
          <w:tcPr>
            <w:tcW w:w="823" w:type="dxa"/>
            <w:tcBorders>
              <w:top w:val="single" w:sz="4" w:space="0" w:color="auto"/>
              <w:left w:val="single" w:sz="4" w:space="0" w:color="auto"/>
              <w:bottom w:val="single" w:sz="4" w:space="0" w:color="auto"/>
              <w:right w:val="single" w:sz="4" w:space="0" w:color="auto"/>
            </w:tcBorders>
            <w:vAlign w:val="center"/>
            <w:hideMark/>
          </w:tcPr>
          <w:p w14:paraId="2B32804B"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4B70822F"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3BBBBD15"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2CE57BF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AD0F2E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3D02F7F5"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F57D5"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3A095A73"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大型底栖生物生物量</w:t>
            </w:r>
          </w:p>
        </w:tc>
        <w:tc>
          <w:tcPr>
            <w:tcW w:w="823" w:type="dxa"/>
            <w:tcBorders>
              <w:top w:val="single" w:sz="4" w:space="0" w:color="auto"/>
              <w:left w:val="single" w:sz="4" w:space="0" w:color="auto"/>
              <w:bottom w:val="single" w:sz="4" w:space="0" w:color="auto"/>
              <w:right w:val="single" w:sz="4" w:space="0" w:color="auto"/>
            </w:tcBorders>
            <w:vAlign w:val="center"/>
            <w:hideMark/>
          </w:tcPr>
          <w:p w14:paraId="13DFBFFA"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09D49744"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4AB42650"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2C519D01"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201090D"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0CC521D3"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AF56ED"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4" w:space="0" w:color="auto"/>
              <w:right w:val="single" w:sz="4" w:space="0" w:color="auto"/>
            </w:tcBorders>
            <w:vAlign w:val="center"/>
            <w:hideMark/>
          </w:tcPr>
          <w:p w14:paraId="3EA66936"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大型底栖生物种类丰富度指数</w:t>
            </w:r>
          </w:p>
        </w:tc>
        <w:tc>
          <w:tcPr>
            <w:tcW w:w="823" w:type="dxa"/>
            <w:tcBorders>
              <w:top w:val="single" w:sz="4" w:space="0" w:color="auto"/>
              <w:left w:val="single" w:sz="4" w:space="0" w:color="auto"/>
              <w:bottom w:val="single" w:sz="4" w:space="0" w:color="auto"/>
              <w:right w:val="single" w:sz="4" w:space="0" w:color="auto"/>
            </w:tcBorders>
            <w:vAlign w:val="center"/>
            <w:hideMark/>
          </w:tcPr>
          <w:p w14:paraId="111F0F6B"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4" w:space="0" w:color="auto"/>
              <w:right w:val="single" w:sz="12" w:space="0" w:color="auto"/>
            </w:tcBorders>
            <w:vAlign w:val="center"/>
            <w:hideMark/>
          </w:tcPr>
          <w:p w14:paraId="6F9F3B55" w14:textId="77777777" w:rsidR="00F96CD2" w:rsidRPr="00F96CD2" w:rsidRDefault="00F96CD2" w:rsidP="00F96CD2">
            <w:pPr>
              <w:widowControl/>
              <w:adjustRightInd w:val="0"/>
              <w:spacing w:line="400" w:lineRule="exact"/>
              <w:ind w:firstLineChars="0" w:firstLine="0"/>
              <w:jc w:val="center"/>
              <w:textAlignment w:val="center"/>
              <w:rPr>
                <w:rFonts w:ascii="Calibri" w:hAnsi="Calibri"/>
                <w:sz w:val="21"/>
                <w:szCs w:val="21"/>
              </w:rPr>
            </w:pPr>
            <w:r w:rsidRPr="00F96CD2">
              <w:rPr>
                <w:rFonts w:ascii="宋体" w:hAnsi="宋体"/>
                <w:color w:val="000000"/>
                <w:kern w:val="0"/>
                <w:sz w:val="18"/>
                <w:szCs w:val="18"/>
              </w:rPr>
              <w:t>逆向</w:t>
            </w:r>
          </w:p>
        </w:tc>
      </w:tr>
      <w:tr w:rsidR="00F96CD2" w:rsidRPr="00F96CD2" w14:paraId="1FD3F6DC" w14:textId="77777777" w:rsidTr="002314B6">
        <w:trPr>
          <w:jc w:val="center"/>
        </w:trPr>
        <w:tc>
          <w:tcPr>
            <w:tcW w:w="809" w:type="dxa"/>
            <w:vMerge/>
            <w:tcBorders>
              <w:top w:val="single" w:sz="4" w:space="0" w:color="auto"/>
              <w:left w:val="single" w:sz="12" w:space="0" w:color="auto"/>
              <w:bottom w:val="single" w:sz="4" w:space="0" w:color="auto"/>
              <w:right w:val="single" w:sz="4" w:space="0" w:color="auto"/>
            </w:tcBorders>
            <w:vAlign w:val="center"/>
            <w:hideMark/>
          </w:tcPr>
          <w:p w14:paraId="7C2E9D68"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3599086"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3E0A3454"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65794" w14:textId="77777777" w:rsidR="00F96CD2" w:rsidRPr="00F96CD2" w:rsidRDefault="00F96CD2" w:rsidP="00F96CD2">
            <w:pPr>
              <w:widowControl/>
              <w:spacing w:line="240" w:lineRule="auto"/>
              <w:ind w:firstLineChars="0" w:firstLine="0"/>
              <w:jc w:val="center"/>
              <w:rPr>
                <w:rFonts w:ascii="Calibri" w:hAnsi="Calibri"/>
                <w:sz w:val="21"/>
                <w:szCs w:val="21"/>
              </w:rPr>
            </w:pPr>
          </w:p>
        </w:tc>
        <w:tc>
          <w:tcPr>
            <w:tcW w:w="2801" w:type="dxa"/>
            <w:tcBorders>
              <w:top w:val="single" w:sz="4" w:space="0" w:color="auto"/>
              <w:left w:val="single" w:sz="4" w:space="0" w:color="auto"/>
              <w:bottom w:val="single" w:sz="8" w:space="0" w:color="auto"/>
              <w:right w:val="single" w:sz="4" w:space="0" w:color="auto"/>
            </w:tcBorders>
            <w:vAlign w:val="center"/>
            <w:hideMark/>
          </w:tcPr>
          <w:p w14:paraId="44DA932B" w14:textId="77777777" w:rsidR="00F96CD2" w:rsidRPr="00F96CD2" w:rsidRDefault="00F96CD2" w:rsidP="00F96CD2">
            <w:pPr>
              <w:widowControl/>
              <w:adjustRightInd w:val="0"/>
              <w:spacing w:line="400" w:lineRule="exact"/>
              <w:ind w:firstLineChars="0" w:firstLine="0"/>
              <w:jc w:val="center"/>
              <w:textAlignment w:val="center"/>
              <w:rPr>
                <w:rFonts w:ascii="宋体" w:hAnsi="宋体" w:hint="eastAsia"/>
                <w:color w:val="000000"/>
                <w:kern w:val="0"/>
                <w:sz w:val="18"/>
                <w:szCs w:val="18"/>
              </w:rPr>
            </w:pPr>
            <w:r w:rsidRPr="00F96CD2">
              <w:rPr>
                <w:rFonts w:ascii="宋体" w:hAnsi="宋体"/>
                <w:color w:val="000000"/>
                <w:kern w:val="0"/>
                <w:sz w:val="18"/>
                <w:szCs w:val="18"/>
              </w:rPr>
              <w:t>大型底栖生物种类多样性指数</w:t>
            </w:r>
          </w:p>
        </w:tc>
        <w:tc>
          <w:tcPr>
            <w:tcW w:w="823" w:type="dxa"/>
            <w:tcBorders>
              <w:top w:val="single" w:sz="4" w:space="0" w:color="auto"/>
              <w:left w:val="single" w:sz="4" w:space="0" w:color="auto"/>
              <w:bottom w:val="single" w:sz="8" w:space="0" w:color="auto"/>
              <w:right w:val="single" w:sz="4" w:space="0" w:color="auto"/>
            </w:tcBorders>
            <w:vAlign w:val="center"/>
            <w:hideMark/>
          </w:tcPr>
          <w:p w14:paraId="104CC0A0" w14:textId="77777777" w:rsidR="00F96CD2" w:rsidRPr="00F96CD2" w:rsidRDefault="00F96CD2" w:rsidP="00F96CD2">
            <w:pPr>
              <w:widowControl/>
              <w:adjustRightInd w:val="0"/>
              <w:spacing w:line="400" w:lineRule="exact"/>
              <w:ind w:firstLineChars="0" w:firstLine="0"/>
              <w:jc w:val="center"/>
              <w:textAlignment w:val="center"/>
              <w:rPr>
                <w:rFonts w:eastAsia="等线"/>
                <w:color w:val="000000"/>
                <w:kern w:val="0"/>
                <w:sz w:val="18"/>
                <w:szCs w:val="18"/>
              </w:rPr>
            </w:pPr>
            <w:r w:rsidRPr="00F96CD2">
              <w:rPr>
                <w:rFonts w:eastAsia="等线"/>
                <w:color w:val="000000"/>
                <w:kern w:val="0"/>
                <w:sz w:val="18"/>
                <w:szCs w:val="18"/>
              </w:rPr>
              <w:t>0.25</w:t>
            </w:r>
          </w:p>
        </w:tc>
        <w:tc>
          <w:tcPr>
            <w:tcW w:w="903" w:type="dxa"/>
            <w:tcBorders>
              <w:top w:val="single" w:sz="4" w:space="0" w:color="auto"/>
              <w:left w:val="single" w:sz="4" w:space="0" w:color="auto"/>
              <w:bottom w:val="single" w:sz="8" w:space="0" w:color="auto"/>
              <w:right w:val="single" w:sz="12" w:space="0" w:color="auto"/>
            </w:tcBorders>
            <w:vAlign w:val="center"/>
            <w:hideMark/>
          </w:tcPr>
          <w:p w14:paraId="6B867218" w14:textId="77777777" w:rsidR="00F96CD2" w:rsidRPr="00F96CD2" w:rsidRDefault="00F96CD2" w:rsidP="00F96CD2">
            <w:pPr>
              <w:widowControl/>
              <w:adjustRightInd w:val="0"/>
              <w:spacing w:line="400" w:lineRule="exact"/>
              <w:ind w:firstLineChars="0" w:firstLine="0"/>
              <w:jc w:val="center"/>
              <w:textAlignment w:val="center"/>
              <w:rPr>
                <w:rFonts w:ascii="宋体" w:hAnsi="宋体" w:hint="eastAsia"/>
                <w:color w:val="000000"/>
                <w:kern w:val="0"/>
                <w:sz w:val="18"/>
                <w:szCs w:val="18"/>
              </w:rPr>
            </w:pPr>
            <w:r w:rsidRPr="00F96CD2">
              <w:rPr>
                <w:rFonts w:ascii="宋体" w:hAnsi="宋体"/>
                <w:color w:val="000000"/>
                <w:kern w:val="0"/>
                <w:sz w:val="18"/>
                <w:szCs w:val="18"/>
              </w:rPr>
              <w:t>逆向</w:t>
            </w:r>
          </w:p>
        </w:tc>
      </w:tr>
      <w:tr w:rsidR="00F96CD2" w:rsidRPr="00F96CD2" w14:paraId="49443B84" w14:textId="77777777" w:rsidTr="00F96CD2">
        <w:trPr>
          <w:jc w:val="center"/>
        </w:trPr>
        <w:tc>
          <w:tcPr>
            <w:tcW w:w="8506" w:type="dxa"/>
            <w:gridSpan w:val="7"/>
            <w:tcBorders>
              <w:top w:val="single" w:sz="8" w:space="0" w:color="auto"/>
              <w:left w:val="single" w:sz="12" w:space="0" w:color="auto"/>
              <w:bottom w:val="single" w:sz="12" w:space="0" w:color="auto"/>
              <w:right w:val="single" w:sz="12" w:space="0" w:color="auto"/>
            </w:tcBorders>
            <w:vAlign w:val="center"/>
            <w:hideMark/>
          </w:tcPr>
          <w:p w14:paraId="21B21E61" w14:textId="178F8466" w:rsidR="00F96CD2" w:rsidRPr="00F96CD2" w:rsidRDefault="00F96CD2" w:rsidP="00F96CD2">
            <w:pPr>
              <w:autoSpaceDE w:val="0"/>
              <w:autoSpaceDN w:val="0"/>
              <w:adjustRightInd w:val="0"/>
              <w:spacing w:line="240" w:lineRule="auto"/>
              <w:ind w:left="363" w:firstLineChars="0" w:firstLine="0"/>
              <w:rPr>
                <w:rFonts w:ascii="宋体"/>
                <w:sz w:val="18"/>
                <w:szCs w:val="18"/>
              </w:rPr>
            </w:pPr>
            <w:r>
              <w:rPr>
                <w:rFonts w:ascii="宋体" w:hAnsi="宋体" w:hint="eastAsia"/>
                <w:sz w:val="18"/>
                <w:szCs w:val="18"/>
              </w:rPr>
              <w:t>注：</w:t>
            </w:r>
            <w:r w:rsidRPr="00F96CD2">
              <w:rPr>
                <w:rFonts w:ascii="宋体" w:hAnsi="宋体"/>
                <w:sz w:val="18"/>
                <w:szCs w:val="18"/>
              </w:rPr>
              <w:t>正向指标：实测数值越大，淤积污染程度越高、清淤必要性越强，评分越高；逆向指标：实测数值越大，水体与生态状况越好，清淤必要性越低，评分越低。</w:t>
            </w:r>
          </w:p>
        </w:tc>
      </w:tr>
    </w:tbl>
    <w:p w14:paraId="0AA2A687" w14:textId="77777777" w:rsidR="00F96CD2" w:rsidRDefault="00F96CD2" w:rsidP="00432466">
      <w:pPr>
        <w:ind w:firstLine="480"/>
      </w:pPr>
    </w:p>
    <w:p w14:paraId="458C591C" w14:textId="77777777" w:rsidR="00BD58EB" w:rsidRPr="00F96CD2" w:rsidRDefault="00BD58EB" w:rsidP="00432466">
      <w:pPr>
        <w:ind w:firstLine="480"/>
      </w:pPr>
    </w:p>
    <w:p w14:paraId="458E64D4" w14:textId="4DF95AE5" w:rsidR="00432466" w:rsidRDefault="002752DC" w:rsidP="00432466">
      <w:pPr>
        <w:ind w:firstLine="480"/>
      </w:pPr>
      <w:r>
        <w:rPr>
          <w:rFonts w:hint="eastAsia"/>
        </w:rPr>
        <w:lastRenderedPageBreak/>
        <w:t>7.</w:t>
      </w:r>
      <w:r w:rsidR="00323FF3" w:rsidRPr="00323FF3">
        <w:t>现场调查和数据收集</w:t>
      </w:r>
    </w:p>
    <w:p w14:paraId="02BEFF72" w14:textId="064CB0E9" w:rsidR="00432466" w:rsidRDefault="002752DC" w:rsidP="002752DC">
      <w:pPr>
        <w:ind w:firstLine="480"/>
      </w:pPr>
      <w:r>
        <w:rPr>
          <w:rFonts w:hint="eastAsia"/>
        </w:rPr>
        <w:t>本章节明确了入海河口生态清淤评估基础数据的获取原则与数据时效要求。评估基础数据包括现有历史资料与现场实测数据，优先采用来源可靠、工况匹配的已有历史资料；当现有资料完整性、时效性、精度无法满足评估赋分要求时，应开展专项现场调查补充实测数据，确保评估结果真实、准确、可追溯。</w:t>
      </w:r>
      <w:r w:rsidRPr="002752DC">
        <w:t>以《环境影响评价技术导则</w:t>
      </w:r>
      <w:r w:rsidRPr="002752DC">
        <w:t xml:space="preserve"> </w:t>
      </w:r>
      <w:r w:rsidRPr="002752DC">
        <w:t>海洋生态环境》（</w:t>
      </w:r>
      <w:proofErr w:type="spellStart"/>
      <w:r w:rsidRPr="002752DC">
        <w:t>HJ</w:t>
      </w:r>
      <w:proofErr w:type="spellEnd"/>
      <w:r w:rsidRPr="002752DC">
        <w:t xml:space="preserve"> 1409—2025</w:t>
      </w:r>
      <w:r w:rsidRPr="002752DC">
        <w:t>）的调查监测相关技术要求为基础，结合入海河口区域特点，简化并明确适配本标准的时效规则，保证不同时期、不同来源监测数据评价结果的统一性。</w:t>
      </w:r>
    </w:p>
    <w:p w14:paraId="47ECF4AA" w14:textId="0AEEFA3A" w:rsidR="00F0506C" w:rsidRDefault="00F0506C" w:rsidP="00F0506C">
      <w:pPr>
        <w:ind w:firstLine="480"/>
      </w:pPr>
      <w:r>
        <w:rPr>
          <w:rFonts w:hint="eastAsia"/>
        </w:rPr>
        <w:t>8.</w:t>
      </w:r>
      <w:r w:rsidR="00323FF3" w:rsidRPr="00323FF3">
        <w:t>评估指标赋分</w:t>
      </w:r>
    </w:p>
    <w:p w14:paraId="1E0A34D3" w14:textId="1F1DC6F7" w:rsidR="00F0506C" w:rsidRDefault="00F0506C" w:rsidP="00F0506C">
      <w:pPr>
        <w:ind w:firstLine="480"/>
      </w:pPr>
      <w:r>
        <w:rPr>
          <w:rFonts w:hint="eastAsia"/>
        </w:rPr>
        <w:t>本章规定入海河口生态清淤评估指标的赋值方法、评价等级划分规则、分级阈值确定原则及计分判定要求，为本标准单项指标量化赋值提供统一技术准则。本标准采用等级赋值法开展指标量化评估，将单项评估指标划分为一级、二级、三级、四级共四个评价等级，依次对应</w:t>
      </w:r>
      <w:r>
        <w:rPr>
          <w:rFonts w:hint="eastAsia"/>
        </w:rPr>
        <w:t>0</w:t>
      </w:r>
      <w:r>
        <w:rPr>
          <w:rFonts w:hint="eastAsia"/>
        </w:rPr>
        <w:t>分、</w:t>
      </w:r>
      <w:r>
        <w:rPr>
          <w:rFonts w:hint="eastAsia"/>
        </w:rPr>
        <w:t>3</w:t>
      </w:r>
      <w:r>
        <w:rPr>
          <w:rFonts w:hint="eastAsia"/>
        </w:rPr>
        <w:t>分、</w:t>
      </w:r>
      <w:r>
        <w:rPr>
          <w:rFonts w:hint="eastAsia"/>
        </w:rPr>
        <w:t>6</w:t>
      </w:r>
      <w:r>
        <w:rPr>
          <w:rFonts w:hint="eastAsia"/>
        </w:rPr>
        <w:t>分、</w:t>
      </w:r>
      <w:r>
        <w:rPr>
          <w:rFonts w:hint="eastAsia"/>
        </w:rPr>
        <w:t>9</w:t>
      </w:r>
      <w:r>
        <w:rPr>
          <w:rFonts w:hint="eastAsia"/>
        </w:rPr>
        <w:t>分，实现全部评估指标量化判定的标准化与统一化。</w:t>
      </w:r>
      <w:r w:rsidR="0048086D" w:rsidRPr="0048086D">
        <w:t>全域统一指标计分规则，减少人为计分偏差。针对监测数据落在两级阈值临界区间的特殊情形，设置专项判定规则，按环境质量偏优一侧等级赋分，兼顾评价工作的严谨性与合理性，保障评估结果客观公正。</w:t>
      </w:r>
    </w:p>
    <w:p w14:paraId="460ACABF" w14:textId="4762937D" w:rsidR="0048086D" w:rsidRDefault="00F0506C" w:rsidP="00F0506C">
      <w:pPr>
        <w:ind w:firstLine="480"/>
      </w:pPr>
      <w:r>
        <w:rPr>
          <w:rFonts w:hint="eastAsia"/>
        </w:rPr>
        <w:t>为保障指标分级阈值的科学性、可溯源性与区域适用性，本标准按照指标类别分层</w:t>
      </w:r>
      <w:r w:rsidR="0048086D">
        <w:rPr>
          <w:rFonts w:hint="eastAsia"/>
        </w:rPr>
        <w:t>选择</w:t>
      </w:r>
      <w:r>
        <w:rPr>
          <w:rFonts w:hint="eastAsia"/>
        </w:rPr>
        <w:t>分级依据。水文指数选取换水周期指标，分级区间参考</w:t>
      </w:r>
      <w:proofErr w:type="spellStart"/>
      <w:r>
        <w:rPr>
          <w:rFonts w:hint="eastAsia"/>
        </w:rPr>
        <w:t>DB13</w:t>
      </w:r>
      <w:proofErr w:type="spellEnd"/>
      <w:r>
        <w:rPr>
          <w:rFonts w:hint="eastAsia"/>
        </w:rPr>
        <w:t>/T 5606</w:t>
      </w:r>
      <w:r>
        <w:rPr>
          <w:rFonts w:hint="eastAsia"/>
        </w:rPr>
        <w:t>—</w:t>
      </w:r>
      <w:r>
        <w:rPr>
          <w:rFonts w:hint="eastAsia"/>
        </w:rPr>
        <w:t>2022</w:t>
      </w:r>
      <w:r>
        <w:rPr>
          <w:rFonts w:hint="eastAsia"/>
        </w:rPr>
        <w:t>《河湖生态清淤工程技术规程》的技术思路，结合入海河口河海交汇水动力特征与专家咨询研判成果综合确定分级界限，适配河口区域水体交换能力的评价。沉积物指数包含</w:t>
      </w:r>
      <w:r w:rsidR="0048086D">
        <w:rPr>
          <w:rFonts w:hint="eastAsia"/>
        </w:rPr>
        <w:t>总</w:t>
      </w:r>
      <w:r>
        <w:rPr>
          <w:rFonts w:hint="eastAsia"/>
        </w:rPr>
        <w:t>有机碳、硫化物、石油类、六六六、滴滴涕、多氯联苯及综合潜在生态风险指数</w:t>
      </w:r>
      <w:r w:rsidRPr="0048086D">
        <w:rPr>
          <w:rFonts w:hint="eastAsia"/>
          <w:i/>
          <w:iCs/>
        </w:rPr>
        <w:t>RI</w:t>
      </w:r>
      <w:r>
        <w:rPr>
          <w:rFonts w:hint="eastAsia"/>
        </w:rPr>
        <w:t>，其中有机碳、硫化物、石油类、有机污染物等指标分级限值</w:t>
      </w:r>
      <w:r w:rsidR="0048086D">
        <w:rPr>
          <w:rFonts w:hint="eastAsia"/>
        </w:rPr>
        <w:t>依据</w:t>
      </w:r>
      <w:r>
        <w:rPr>
          <w:rFonts w:hint="eastAsia"/>
        </w:rPr>
        <w:t>GB 18668</w:t>
      </w:r>
      <w:r>
        <w:rPr>
          <w:rFonts w:hint="eastAsia"/>
        </w:rPr>
        <w:t>《海洋沉积物质量》；综合潜在生态风险指数</w:t>
      </w:r>
      <w:r w:rsidRPr="0048086D">
        <w:rPr>
          <w:rFonts w:hint="eastAsia"/>
          <w:i/>
          <w:iCs/>
        </w:rPr>
        <w:t>RI</w:t>
      </w:r>
      <w:r>
        <w:rPr>
          <w:rFonts w:hint="eastAsia"/>
        </w:rPr>
        <w:t>分级区间参考</w:t>
      </w:r>
      <w:r>
        <w:rPr>
          <w:rFonts w:hint="eastAsia"/>
        </w:rPr>
        <w:t>Håkanson</w:t>
      </w:r>
      <w:r>
        <w:rPr>
          <w:rFonts w:hint="eastAsia"/>
        </w:rPr>
        <w:t>提出的沉积物重金属潜在生态风险指数经典理论体系。水环境指数选取富营养评价指数、化学需氧量、溶解氧、悬浮物、无机氮、活性磷酸盐，分级阈值主要依据</w:t>
      </w:r>
      <w:r>
        <w:rPr>
          <w:rFonts w:hint="eastAsia"/>
        </w:rPr>
        <w:t>GB 3097</w:t>
      </w:r>
      <w:r>
        <w:rPr>
          <w:rFonts w:hint="eastAsia"/>
        </w:rPr>
        <w:t>《海水水质标准》，并参考</w:t>
      </w:r>
      <w:proofErr w:type="spellStart"/>
      <w:r>
        <w:rPr>
          <w:rFonts w:hint="eastAsia"/>
        </w:rPr>
        <w:t>HJ</w:t>
      </w:r>
      <w:proofErr w:type="spellEnd"/>
      <w:r>
        <w:rPr>
          <w:rFonts w:hint="eastAsia"/>
        </w:rPr>
        <w:t xml:space="preserve"> 442.10</w:t>
      </w:r>
      <w:r>
        <w:rPr>
          <w:rFonts w:hint="eastAsia"/>
        </w:rPr>
        <w:t>—</w:t>
      </w:r>
      <w:r>
        <w:rPr>
          <w:rFonts w:hint="eastAsia"/>
        </w:rPr>
        <w:t>2020</w:t>
      </w:r>
      <w:r>
        <w:rPr>
          <w:rFonts w:hint="eastAsia"/>
        </w:rPr>
        <w:t>《近岸海域环境监测技术规范</w:t>
      </w:r>
      <w:r>
        <w:rPr>
          <w:rFonts w:hint="eastAsia"/>
        </w:rPr>
        <w:t xml:space="preserve"> </w:t>
      </w:r>
      <w:r>
        <w:rPr>
          <w:rFonts w:hint="eastAsia"/>
        </w:rPr>
        <w:t>第十部分</w:t>
      </w:r>
      <w:r>
        <w:rPr>
          <w:rFonts w:hint="eastAsia"/>
        </w:rPr>
        <w:t xml:space="preserve"> </w:t>
      </w:r>
      <w:r>
        <w:rPr>
          <w:rFonts w:hint="eastAsia"/>
        </w:rPr>
        <w:t>评价及报告》中近岸海域环境质量评价的技术框架，适配河口区水环境质量与富营养化水平判定。水生态指数涵盖浮游植物多样性指数、浮游动物丰度与生物量、浮游动物种类丰富度指数、浮游动物种类多样</w:t>
      </w:r>
      <w:r>
        <w:rPr>
          <w:rFonts w:hint="eastAsia"/>
        </w:rPr>
        <w:lastRenderedPageBreak/>
        <w:t>性指数、大型底栖生物栖息密度、大型底栖生物生物量、大型底栖生物种类丰富度指数、大型底栖生物种类多样性指数，分级阈值参考</w:t>
      </w:r>
      <w:r>
        <w:rPr>
          <w:rFonts w:hint="eastAsia"/>
        </w:rPr>
        <w:t>HY/T 215</w:t>
      </w:r>
      <w:r>
        <w:rPr>
          <w:rFonts w:hint="eastAsia"/>
        </w:rPr>
        <w:t>—</w:t>
      </w:r>
      <w:r>
        <w:rPr>
          <w:rFonts w:hint="eastAsia"/>
        </w:rPr>
        <w:t>2017</w:t>
      </w:r>
      <w:r>
        <w:rPr>
          <w:rFonts w:hint="eastAsia"/>
        </w:rPr>
        <w:t>《近岸海域海洋生物多样性评价技术指南》。入海河口生态系统存在显著的季节性波动特征，浮游生物、大型底栖生物的群落结构、栖息密度及生物量随季节更替存在明显差异。为此，本章针对上述生物类指标设置分季节分级阈值，规避采用单一时相背景值带来的评价偏差，客观表征河口生态群落动态变化特征。</w:t>
      </w:r>
    </w:p>
    <w:p w14:paraId="2A38CAF2" w14:textId="6F3B1C4E" w:rsidR="00432466" w:rsidRDefault="0048086D" w:rsidP="00432466">
      <w:pPr>
        <w:ind w:firstLine="480"/>
      </w:pPr>
      <w:r>
        <w:rPr>
          <w:rFonts w:hint="eastAsia"/>
        </w:rPr>
        <w:t>9.</w:t>
      </w:r>
      <w:r w:rsidR="00323FF3" w:rsidRPr="00323FF3">
        <w:t>指标加权计算</w:t>
      </w:r>
    </w:p>
    <w:p w14:paraId="2EF4B024" w14:textId="0627EDCE" w:rsidR="00323FF3" w:rsidRDefault="00323FF3" w:rsidP="00323FF3">
      <w:pPr>
        <w:ind w:firstLine="480"/>
      </w:pPr>
      <w:r>
        <w:rPr>
          <w:rFonts w:hint="eastAsia"/>
        </w:rPr>
        <w:t>本条规定入海河口生态清淤评估指标加权计算的运算逻辑、计算步骤、计算公式与数值精度要求。本标准采用“自下而上”的层级加权模式，从基础评估指标开始，逐层向上汇总计算分项指标、专项指标分值，匹配本标准“评估指标</w:t>
      </w:r>
      <w:r>
        <w:t>‑</w:t>
      </w:r>
      <w:r>
        <w:rPr>
          <w:rFonts w:hint="eastAsia"/>
        </w:rPr>
        <w:t>分项指标</w:t>
      </w:r>
      <w:r>
        <w:t>‑</w:t>
      </w:r>
      <w:r>
        <w:rPr>
          <w:rFonts w:hint="eastAsia"/>
        </w:rPr>
        <w:t>专项指标”三级指标架构，明确两级加权求和计算公式，统一计算流程，保障不同项目评估计算过程一致、结果可复现。</w:t>
      </w:r>
    </w:p>
    <w:p w14:paraId="75EB2EE4" w14:textId="44DAAC5C" w:rsidR="00323FF3" w:rsidRDefault="00323FF3" w:rsidP="00323FF3">
      <w:pPr>
        <w:ind w:firstLine="480"/>
      </w:pPr>
      <w:r>
        <w:rPr>
          <w:rFonts w:hint="eastAsia"/>
        </w:rPr>
        <w:t>首先以已完成赋分的各评估指标分值为基础，通过加权求和公式计算得到分项指标分值，实现底层评估指标向分项指标的聚合；再利用各分项指标计算结果，再次采用加权求和方法计算得到各专项指标分值，完成从分项指标到专项指标的层级聚合。条文对公式中各符号含义逐一说明，明确输入输出参数，便于实施人员理解与开展计算。</w:t>
      </w:r>
    </w:p>
    <w:p w14:paraId="0C4CF2A3" w14:textId="5A72D6D7" w:rsidR="00323FF3" w:rsidRDefault="00323FF3" w:rsidP="00323FF3">
      <w:pPr>
        <w:ind w:firstLine="480"/>
      </w:pPr>
      <w:r>
        <w:rPr>
          <w:rFonts w:hint="eastAsia"/>
        </w:rPr>
        <w:t>同时规定全部运算过程数值统一保留</w:t>
      </w:r>
      <w:r>
        <w:rPr>
          <w:rFonts w:hint="eastAsia"/>
        </w:rPr>
        <w:t>1</w:t>
      </w:r>
      <w:r>
        <w:rPr>
          <w:rFonts w:hint="eastAsia"/>
        </w:rPr>
        <w:t>位小数，统一计算精度，减少计算过程引入的人为舍入误差，避免因小数位数取舍不一致造成评估结果偏差，保证评估计算工作的规范性。</w:t>
      </w:r>
    </w:p>
    <w:p w14:paraId="7F5E1B22" w14:textId="69109DAB" w:rsidR="00323FF3" w:rsidRPr="00323FF3" w:rsidRDefault="0048086D" w:rsidP="00432466">
      <w:pPr>
        <w:ind w:firstLine="480"/>
      </w:pPr>
      <w:r>
        <w:rPr>
          <w:rFonts w:hint="eastAsia"/>
        </w:rPr>
        <w:t>10.</w:t>
      </w:r>
      <w:r w:rsidR="00323FF3" w:rsidRPr="00323FF3">
        <w:t>生态清淤综合指数</w:t>
      </w:r>
    </w:p>
    <w:p w14:paraId="41F908C1" w14:textId="3668157B" w:rsidR="00323FF3" w:rsidRDefault="00323FF3" w:rsidP="00323FF3">
      <w:pPr>
        <w:ind w:firstLine="480"/>
      </w:pPr>
      <w:r>
        <w:rPr>
          <w:rFonts w:hint="eastAsia"/>
        </w:rPr>
        <w:t>本条规定生态清淤综合指数的计算方法，在指标加权计算得到各专项指标分值的基础上，完成由专项指标向综合指数的最终聚合。以评价单元为计算对象，继续采用加权求和法，将水文、沉积物环境、水环境、水生态四项专项指标分值结合对应权重开展计算，得到生态清淤综合指数。</w:t>
      </w:r>
    </w:p>
    <w:p w14:paraId="7EBDF9F0" w14:textId="21FAC3EE" w:rsidR="00323FF3" w:rsidRDefault="00323FF3" w:rsidP="00432466">
      <w:pPr>
        <w:ind w:firstLine="480"/>
      </w:pPr>
      <w:r>
        <w:rPr>
          <w:rFonts w:hint="eastAsia"/>
        </w:rPr>
        <w:t>条文给出综合指数计算公式，对公式内各参数符号含义予以说明，明确输入为各专项指标分值与对应权重，输出为能够整体表征评价单元河口淤积污染胁迫程度的综合指数。该指数集成四大维度的评价信息，实现多要素评价结果归一化，为后续生态清淤必要性等级判定提供统一的量化结果，与前文自下而上的层级计</w:t>
      </w:r>
      <w:r>
        <w:rPr>
          <w:rFonts w:hint="eastAsia"/>
        </w:rPr>
        <w:lastRenderedPageBreak/>
        <w:t>算逻辑保持连贯，形成完整的指标计算链条，保障全流程计算口径统一、结果可复现。</w:t>
      </w:r>
    </w:p>
    <w:p w14:paraId="4D41F66B" w14:textId="34A3FB4F" w:rsidR="00323FF3" w:rsidRDefault="0048086D" w:rsidP="00432466">
      <w:pPr>
        <w:ind w:firstLine="480"/>
      </w:pPr>
      <w:r>
        <w:rPr>
          <w:rFonts w:hint="eastAsia"/>
        </w:rPr>
        <w:t>11.</w:t>
      </w:r>
      <w:r w:rsidR="00323FF3">
        <w:rPr>
          <w:rFonts w:hint="eastAsia"/>
        </w:rPr>
        <w:t>评估等级判定</w:t>
      </w:r>
    </w:p>
    <w:p w14:paraId="4E33AF0B" w14:textId="0D58EC23" w:rsidR="00C67879" w:rsidRDefault="006F053D" w:rsidP="00432466">
      <w:pPr>
        <w:ind w:firstLine="480"/>
      </w:pPr>
      <w:r>
        <w:rPr>
          <w:rFonts w:hint="eastAsia"/>
        </w:rPr>
        <w:t>本条</w:t>
      </w:r>
      <w:r w:rsidR="00432466">
        <w:rPr>
          <w:rFonts w:hint="eastAsia"/>
        </w:rPr>
        <w:t>根据</w:t>
      </w:r>
      <w:r w:rsidR="00323FF3">
        <w:rPr>
          <w:rFonts w:hint="eastAsia"/>
        </w:rPr>
        <w:t>入海河口</w:t>
      </w:r>
      <w:r w:rsidR="00432466">
        <w:rPr>
          <w:rFonts w:hint="eastAsia"/>
        </w:rPr>
        <w:t>生态清淤综合指数划分Ⅰ、Ⅱ、Ⅲ、Ⅳ四个清淤需求等级，明确各等级对应的底泥淤积、生态受损状况及管控治理建议。针对不同等级分别制定自然维持、动态监测、辅助修复、工程清淤差异化管控对策，为入海河口分区、分级开展生态清淤治理与生态保护管理提供精准的技术依据。</w:t>
      </w:r>
    </w:p>
    <w:p w14:paraId="4751226B" w14:textId="183BB60A" w:rsidR="0048086D" w:rsidRDefault="0048086D" w:rsidP="00432466">
      <w:pPr>
        <w:ind w:firstLine="480"/>
      </w:pPr>
      <w:r>
        <w:rPr>
          <w:rFonts w:hint="eastAsia"/>
        </w:rPr>
        <w:t>12.</w:t>
      </w:r>
      <w:r>
        <w:rPr>
          <w:rFonts w:hint="eastAsia"/>
        </w:rPr>
        <w:t>评估报告编制</w:t>
      </w:r>
    </w:p>
    <w:p w14:paraId="637C23E4" w14:textId="0C971609" w:rsidR="0072570C" w:rsidRDefault="0072570C" w:rsidP="0072570C">
      <w:pPr>
        <w:ind w:firstLine="480"/>
      </w:pPr>
      <w:r>
        <w:rPr>
          <w:rFonts w:hint="eastAsia"/>
        </w:rPr>
        <w:t>本章规定了入海河口生态清淤评估报告的编制要求、报告应涵盖的主要内容及应附的附件材料，旨在为评估成果的规范化呈现与结论输出提供统一的技术要求。</w:t>
      </w:r>
    </w:p>
    <w:p w14:paraId="2C79DAC4" w14:textId="77777777" w:rsidR="0072570C" w:rsidRDefault="0072570C" w:rsidP="0072570C">
      <w:pPr>
        <w:ind w:firstLine="480"/>
      </w:pPr>
      <w:r>
        <w:rPr>
          <w:rFonts w:hint="eastAsia"/>
        </w:rPr>
        <w:t>一是明确评估报告应涵盖评估工作全过程，要求报告内容客观、真实，结论明确。为此，本章规定评估报告应包括项目概况（评估范围、河口基本情况等）、评估方法与工作流程、调查数据与指标赋分结果、指标权重及综合指数计算、评估等级判定结果（直接评估单元汇总各专项指数分值与综合评估分值）、清淤必要性分析及对策建议等内容，确保报告能够完整反映评估工作的技术链条。</w:t>
      </w:r>
    </w:p>
    <w:p w14:paraId="59D28216" w14:textId="1B3512EA" w:rsidR="0072570C" w:rsidRPr="0072570C" w:rsidRDefault="0072570C" w:rsidP="0072570C">
      <w:pPr>
        <w:ind w:firstLine="480"/>
      </w:pPr>
      <w:r>
        <w:rPr>
          <w:rFonts w:hint="eastAsia"/>
        </w:rPr>
        <w:t>二是规范评估报告附件要求，规定报告应附监测点位布设图、各指标原始数据及赋分计算表、评估结果分级图等附件，保障评估结果的可追溯性与可核查性。</w:t>
      </w:r>
    </w:p>
    <w:p w14:paraId="0EE515ED" w14:textId="77777777" w:rsidR="0072570C" w:rsidRDefault="0072570C" w:rsidP="0072570C">
      <w:pPr>
        <w:ind w:firstLine="480"/>
      </w:pPr>
      <w:r>
        <w:rPr>
          <w:rFonts w:hint="eastAsia"/>
        </w:rPr>
        <w:t>本章与第</w:t>
      </w:r>
      <w:r>
        <w:rPr>
          <w:rFonts w:hint="eastAsia"/>
        </w:rPr>
        <w:t>7</w:t>
      </w:r>
      <w:r>
        <w:rPr>
          <w:rFonts w:hint="eastAsia"/>
        </w:rPr>
        <w:t>章现场调查和数据收集、第</w:t>
      </w:r>
      <w:r>
        <w:rPr>
          <w:rFonts w:hint="eastAsia"/>
        </w:rPr>
        <w:t>8</w:t>
      </w:r>
      <w:r>
        <w:rPr>
          <w:rFonts w:hint="eastAsia"/>
        </w:rPr>
        <w:t>章评估指标赋分、第</w:t>
      </w:r>
      <w:r>
        <w:rPr>
          <w:rFonts w:hint="eastAsia"/>
        </w:rPr>
        <w:t>9</w:t>
      </w:r>
      <w:r>
        <w:rPr>
          <w:rFonts w:hint="eastAsia"/>
        </w:rPr>
        <w:t>章指标加权计算、第</w:t>
      </w:r>
      <w:r>
        <w:rPr>
          <w:rFonts w:hint="eastAsia"/>
        </w:rPr>
        <w:t>10</w:t>
      </w:r>
      <w:r>
        <w:rPr>
          <w:rFonts w:hint="eastAsia"/>
        </w:rPr>
        <w:t>章生态清淤综合指数、第</w:t>
      </w:r>
      <w:r>
        <w:rPr>
          <w:rFonts w:hint="eastAsia"/>
        </w:rPr>
        <w:t>11</w:t>
      </w:r>
      <w:r>
        <w:rPr>
          <w:rFonts w:hint="eastAsia"/>
        </w:rPr>
        <w:t>章评估等级判定等章节相互衔接。第</w:t>
      </w:r>
      <w:r>
        <w:rPr>
          <w:rFonts w:hint="eastAsia"/>
        </w:rPr>
        <w:t>7</w:t>
      </w:r>
      <w:r>
        <w:rPr>
          <w:rFonts w:hint="eastAsia"/>
        </w:rPr>
        <w:t>章至第</w:t>
      </w:r>
      <w:r>
        <w:rPr>
          <w:rFonts w:hint="eastAsia"/>
        </w:rPr>
        <w:t>11</w:t>
      </w:r>
      <w:r>
        <w:rPr>
          <w:rFonts w:hint="eastAsia"/>
        </w:rPr>
        <w:t>章为本章评估报告的编制提供数据、赋分、权重、综合指数及等级判定等基础成果，本章则是对前述各章技术内容的最终集成与成果输出，形成从现场调查到评估报告编制的完整技术闭环。</w:t>
      </w:r>
    </w:p>
    <w:p w14:paraId="36F58333" w14:textId="5E2364F6" w:rsidR="00C67879" w:rsidRDefault="0048086D" w:rsidP="0072570C">
      <w:pPr>
        <w:ind w:firstLine="480"/>
      </w:pPr>
      <w:r>
        <w:rPr>
          <w:rFonts w:hint="eastAsia"/>
        </w:rPr>
        <w:t>13</w:t>
      </w:r>
      <w:r w:rsidR="00971276">
        <w:rPr>
          <w:rFonts w:hint="eastAsia"/>
        </w:rPr>
        <w:t>.</w:t>
      </w:r>
      <w:r w:rsidR="00971276">
        <w:rPr>
          <w:rFonts w:hint="eastAsia"/>
        </w:rPr>
        <w:t>附录</w:t>
      </w:r>
      <w:r w:rsidR="006F053D">
        <w:rPr>
          <w:rFonts w:hint="eastAsia"/>
        </w:rPr>
        <w:t>A</w:t>
      </w:r>
      <w:r w:rsidR="006F053D">
        <w:rPr>
          <w:rFonts w:hint="eastAsia"/>
        </w:rPr>
        <w:t>（资料性）</w:t>
      </w:r>
    </w:p>
    <w:p w14:paraId="1EDE89CD" w14:textId="756657A6" w:rsidR="00C67879" w:rsidRDefault="00971276" w:rsidP="00542531">
      <w:pPr>
        <w:ind w:firstLine="480"/>
      </w:pPr>
      <w:r w:rsidRPr="00971276">
        <w:t>附录</w:t>
      </w:r>
      <w:r w:rsidRPr="00971276">
        <w:t>A</w:t>
      </w:r>
      <w:r w:rsidRPr="00971276">
        <w:t>为入海河口生态清淤评估指标含义，系统阐释各评估指标的概念内涵、表征意义与技术用途</w:t>
      </w:r>
      <w:r w:rsidR="00A534C6">
        <w:rPr>
          <w:rFonts w:hint="eastAsia"/>
        </w:rPr>
        <w:t>。</w:t>
      </w:r>
    </w:p>
    <w:p w14:paraId="65F0A6B8" w14:textId="602059F3" w:rsidR="006F053D" w:rsidRDefault="0072570C" w:rsidP="006F053D">
      <w:pPr>
        <w:ind w:firstLine="480"/>
      </w:pPr>
      <w:r>
        <w:rPr>
          <w:rFonts w:hint="eastAsia"/>
        </w:rPr>
        <w:t>14</w:t>
      </w:r>
      <w:r w:rsidR="006F053D">
        <w:rPr>
          <w:rFonts w:hint="eastAsia"/>
        </w:rPr>
        <w:t>.</w:t>
      </w:r>
      <w:r w:rsidR="006F053D">
        <w:rPr>
          <w:rFonts w:hint="eastAsia"/>
        </w:rPr>
        <w:t>参考文献</w:t>
      </w:r>
    </w:p>
    <w:p w14:paraId="701BBDD8" w14:textId="1FD0A0DB" w:rsidR="006F053D" w:rsidRPr="006F053D" w:rsidRDefault="006F053D" w:rsidP="006F053D">
      <w:pPr>
        <w:ind w:firstLine="480"/>
      </w:pPr>
      <w:r>
        <w:rPr>
          <w:rFonts w:hint="eastAsia"/>
        </w:rPr>
        <w:t>本标准参考文献汇集国家现行海水、沉积物质量标准、海洋监测系列规范、海洋生态评价行业指南、地方工程技术规程以及国外经典生态风险评价文献共计</w:t>
      </w:r>
      <w:r>
        <w:rPr>
          <w:rFonts w:hint="eastAsia"/>
        </w:rPr>
        <w:lastRenderedPageBreak/>
        <w:t>1</w:t>
      </w:r>
      <w:r w:rsidR="0072570C">
        <w:rPr>
          <w:rFonts w:hint="eastAsia"/>
        </w:rPr>
        <w:t>4</w:t>
      </w:r>
      <w:r>
        <w:rPr>
          <w:rFonts w:hint="eastAsia"/>
        </w:rPr>
        <w:t>项，涵盖监测采样、分析测试、质量控制、生态评价、工程管控等技术领域。参考文献为标准中指标筛选、调查方法、分级阈值确定、风险评估等技术内容提供技术支撑，体现本标准与国家、行业现行标准体系以及已有研究成果的衔接。</w:t>
      </w:r>
    </w:p>
    <w:p w14:paraId="3B4F3F0F" w14:textId="2FACE054" w:rsidR="006651EC" w:rsidRDefault="002D5D0E">
      <w:pPr>
        <w:pStyle w:val="1"/>
      </w:pPr>
      <w:bookmarkStart w:id="20" w:name="_Toc239001637"/>
      <w:r>
        <w:t xml:space="preserve">4 </w:t>
      </w:r>
      <w:r>
        <w:t>主要方法验证试验</w:t>
      </w:r>
      <w:bookmarkEnd w:id="18"/>
      <w:bookmarkEnd w:id="20"/>
    </w:p>
    <w:p w14:paraId="28A39741" w14:textId="620E8A78" w:rsidR="005840B9" w:rsidRDefault="00A90143" w:rsidP="00A90143">
      <w:pPr>
        <w:ind w:firstLine="480"/>
        <w:rPr>
          <w:color w:val="EE0000"/>
        </w:rPr>
      </w:pPr>
      <w:r>
        <w:rPr>
          <w:rFonts w:hint="eastAsia"/>
        </w:rPr>
        <w:t>选取椒江河口典型入海河口开展现场应用验证，依托本文件技术体系完成全域综合评估，验证结果表明本评估方法科学可行，能够精准识别入海河口底泥淤积与生态退化问题，为河口生态治理提供技术支撑。</w:t>
      </w:r>
    </w:p>
    <w:p w14:paraId="052DFD80" w14:textId="77777777" w:rsidR="00A90143" w:rsidRDefault="00A90143" w:rsidP="008820FD">
      <w:pPr>
        <w:pStyle w:val="2"/>
      </w:pPr>
      <w:bookmarkStart w:id="21" w:name="_Toc239001638"/>
      <w:r>
        <w:rPr>
          <w:rFonts w:hint="eastAsia"/>
        </w:rPr>
        <w:t xml:space="preserve">4.1 </w:t>
      </w:r>
      <w:r>
        <w:rPr>
          <w:rFonts w:hint="eastAsia"/>
        </w:rPr>
        <w:t>验证区域概况</w:t>
      </w:r>
      <w:bookmarkEnd w:id="21"/>
    </w:p>
    <w:p w14:paraId="301BD689" w14:textId="0053AF06" w:rsidR="00825CCC" w:rsidRDefault="00825CCC" w:rsidP="00A90143">
      <w:pPr>
        <w:ind w:firstLine="480"/>
      </w:pPr>
      <w:r w:rsidRPr="00825CCC">
        <w:t>椒江河口为浙江典型强潮入海河口，咸淡水交互作用显著，潮汐往复运动强烈，</w:t>
      </w:r>
      <w:r w:rsidR="001B7629">
        <w:rPr>
          <w:rFonts w:hint="eastAsia"/>
        </w:rPr>
        <w:t>河口受流域来沙及人类活动共同影响</w:t>
      </w:r>
      <w:r w:rsidRPr="00825CCC">
        <w:t>，</w:t>
      </w:r>
      <w:r w:rsidR="001B7629">
        <w:rPr>
          <w:rFonts w:hint="eastAsia"/>
        </w:rPr>
        <w:t>存在泥沙淤积</w:t>
      </w:r>
      <w:r w:rsidR="00D50416">
        <w:rPr>
          <w:rFonts w:hint="eastAsia"/>
        </w:rPr>
        <w:t>，</w:t>
      </w:r>
      <w:r w:rsidRPr="00825CCC">
        <w:t>水动力、沉积物环境、水环境及水生生态条件复杂</w:t>
      </w:r>
      <w:r w:rsidR="001B7629">
        <w:rPr>
          <w:rFonts w:hint="eastAsia"/>
        </w:rPr>
        <w:t>。</w:t>
      </w:r>
      <w:r w:rsidRPr="00825CCC">
        <w:t>区域分布有滩涂、海洋生态保护相关敏感目标，面临底泥淤积管控与河口生态保护的现实管理需求。选取椒江河口开展方法验证，该河口具备入海河口潮汐、泥沙、咸淡水交汇的典型环境特征，能够较好代表我国东南沿海同类入海河口的环境特点，以此案例开展验算，检验本规程评估体系、分级阈值在强潮入海河口场景下的适配性。</w:t>
      </w:r>
    </w:p>
    <w:p w14:paraId="67135A63" w14:textId="6640F901" w:rsidR="00825CCC" w:rsidRDefault="001B7629" w:rsidP="001B7629">
      <w:pPr>
        <w:ind w:firstLineChars="0" w:firstLine="0"/>
        <w:jc w:val="center"/>
      </w:pPr>
      <w:r>
        <w:rPr>
          <w:noProof/>
        </w:rPr>
        <w:drawing>
          <wp:inline distT="0" distB="0" distL="0" distR="0" wp14:anchorId="659D7CFE" wp14:editId="70065E00">
            <wp:extent cx="4382754" cy="3024554"/>
            <wp:effectExtent l="0" t="0" r="0" b="4445"/>
            <wp:docPr id="7830176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017618" name="图片 7830176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89472" cy="3029190"/>
                    </a:xfrm>
                    <a:prstGeom prst="rect">
                      <a:avLst/>
                    </a:prstGeom>
                  </pic:spPr>
                </pic:pic>
              </a:graphicData>
            </a:graphic>
          </wp:inline>
        </w:drawing>
      </w:r>
    </w:p>
    <w:p w14:paraId="5BDFCA63" w14:textId="3E5B445E" w:rsidR="001B7629" w:rsidRDefault="001B7629" w:rsidP="001B7629">
      <w:pPr>
        <w:ind w:firstLine="480"/>
        <w:jc w:val="center"/>
      </w:pPr>
      <w:r>
        <w:rPr>
          <w:rFonts w:hint="eastAsia"/>
        </w:rPr>
        <w:t>图</w:t>
      </w:r>
      <w:r w:rsidR="00DF6995">
        <w:rPr>
          <w:rFonts w:hint="eastAsia"/>
        </w:rPr>
        <w:t>1</w:t>
      </w:r>
      <w:r>
        <w:rPr>
          <w:rFonts w:hint="eastAsia"/>
        </w:rPr>
        <w:t>采样点位</w:t>
      </w:r>
      <w:r w:rsidR="00596C61">
        <w:rPr>
          <w:rFonts w:hint="eastAsia"/>
        </w:rPr>
        <w:t>分布</w:t>
      </w:r>
    </w:p>
    <w:p w14:paraId="77E6B7F0" w14:textId="37021CB0" w:rsidR="00A90143" w:rsidRDefault="00A90143" w:rsidP="008820FD">
      <w:pPr>
        <w:pStyle w:val="2"/>
      </w:pPr>
      <w:bookmarkStart w:id="22" w:name="_Toc239001639"/>
      <w:r>
        <w:rPr>
          <w:rFonts w:hint="eastAsia"/>
        </w:rPr>
        <w:lastRenderedPageBreak/>
        <w:t xml:space="preserve">4.2 </w:t>
      </w:r>
      <w:r>
        <w:rPr>
          <w:rFonts w:hint="eastAsia"/>
        </w:rPr>
        <w:t>验证实施与计算分析</w:t>
      </w:r>
      <w:bookmarkEnd w:id="22"/>
    </w:p>
    <w:p w14:paraId="25EA8B83" w14:textId="0E04DD83" w:rsidR="001B7629" w:rsidRDefault="00596C61" w:rsidP="00A90143">
      <w:pPr>
        <w:ind w:firstLine="480"/>
      </w:pPr>
      <w:r w:rsidRPr="00596C61">
        <w:t>本次方法验证于</w:t>
      </w:r>
      <w:r w:rsidR="00D50416">
        <w:rPr>
          <w:rFonts w:hint="eastAsia"/>
        </w:rPr>
        <w:t>2026</w:t>
      </w:r>
      <w:r w:rsidR="00D50416">
        <w:rPr>
          <w:rFonts w:hint="eastAsia"/>
        </w:rPr>
        <w:t>年夏季</w:t>
      </w:r>
      <w:r w:rsidRPr="00596C61">
        <w:t>开展椒江河口现场监测工作，获取研究区水文、沉积物、水环境、水生生态多要素实测数据。监测全过程严格执行现行海洋监测规范，对监测数据开展核查与质量控制，保障基础数据真实可靠。以</w:t>
      </w:r>
      <w:proofErr w:type="spellStart"/>
      <w:r w:rsidRPr="00596C61">
        <w:t>S1</w:t>
      </w:r>
      <w:proofErr w:type="spellEnd"/>
      <w:r w:rsidRPr="00596C61">
        <w:t>～</w:t>
      </w:r>
      <w:proofErr w:type="spellStart"/>
      <w:r w:rsidRPr="00596C61">
        <w:t>S6</w:t>
      </w:r>
      <w:proofErr w:type="spellEnd"/>
      <w:r w:rsidRPr="00596C61">
        <w:t>共</w:t>
      </w:r>
      <w:r w:rsidRPr="00596C61">
        <w:t>6</w:t>
      </w:r>
      <w:r w:rsidRPr="00596C61">
        <w:t>个采样站位作为独立评价单元，依据本文件的评估指标体系、赋值标准、权重分配及综合计算方法，开展各单项指标标准化赋分、四类分项指数及生态清淤综合指数核算，逐一判定各站位生态清淤需求等级，各站位评估结果详见下表</w:t>
      </w:r>
      <w:r w:rsidR="00DF6995">
        <w:rPr>
          <w:rFonts w:hint="eastAsia"/>
        </w:rPr>
        <w:t>2</w:t>
      </w:r>
      <w:r w:rsidRPr="00596C61">
        <w:t>。</w:t>
      </w:r>
    </w:p>
    <w:p w14:paraId="6A9EC362" w14:textId="1A57E550" w:rsidR="001B7629" w:rsidRDefault="00596C61" w:rsidP="00596C61">
      <w:pPr>
        <w:ind w:firstLine="480"/>
        <w:jc w:val="center"/>
      </w:pPr>
      <w:r>
        <w:rPr>
          <w:rFonts w:hint="eastAsia"/>
        </w:rPr>
        <w:t>表</w:t>
      </w:r>
      <w:r w:rsidR="00DF6995">
        <w:rPr>
          <w:rFonts w:hint="eastAsia"/>
        </w:rPr>
        <w:t>2</w:t>
      </w:r>
      <w:r>
        <w:rPr>
          <w:rFonts w:hint="eastAsia"/>
        </w:rPr>
        <w:t xml:space="preserve"> </w:t>
      </w:r>
      <w:r>
        <w:rPr>
          <w:rFonts w:hint="eastAsia"/>
        </w:rPr>
        <w:t>椒江河口各站位评估计算结果</w:t>
      </w:r>
    </w:p>
    <w:tbl>
      <w:tblPr>
        <w:tblStyle w:val="ab"/>
        <w:tblW w:w="8222" w:type="dxa"/>
        <w:jc w:val="center"/>
        <w:tblLook w:val="04A0" w:firstRow="1" w:lastRow="0" w:firstColumn="1" w:lastColumn="0" w:noHBand="0" w:noVBand="1"/>
      </w:tblPr>
      <w:tblGrid>
        <w:gridCol w:w="851"/>
        <w:gridCol w:w="850"/>
        <w:gridCol w:w="1134"/>
        <w:gridCol w:w="1134"/>
        <w:gridCol w:w="1134"/>
        <w:gridCol w:w="2268"/>
        <w:gridCol w:w="851"/>
      </w:tblGrid>
      <w:tr w:rsidR="00596C61" w:rsidRPr="00D50416" w14:paraId="40A54B9A" w14:textId="0570479D" w:rsidTr="00596C61">
        <w:trPr>
          <w:trHeight w:val="924"/>
          <w:jc w:val="center"/>
        </w:trPr>
        <w:tc>
          <w:tcPr>
            <w:tcW w:w="851" w:type="dxa"/>
            <w:vAlign w:val="center"/>
          </w:tcPr>
          <w:p w14:paraId="63EFAC82" w14:textId="4F719F9B" w:rsidR="00596C61" w:rsidRPr="00D50416" w:rsidRDefault="00596C61" w:rsidP="00596C61">
            <w:pPr>
              <w:ind w:firstLineChars="0" w:firstLine="0"/>
              <w:jc w:val="center"/>
            </w:pPr>
            <w:r w:rsidRPr="00D50416">
              <w:rPr>
                <w:rFonts w:hint="eastAsia"/>
              </w:rPr>
              <w:t>评估站位</w:t>
            </w:r>
          </w:p>
        </w:tc>
        <w:tc>
          <w:tcPr>
            <w:tcW w:w="850" w:type="dxa"/>
            <w:vAlign w:val="center"/>
          </w:tcPr>
          <w:p w14:paraId="7CB9EFEF" w14:textId="33E9166E" w:rsidR="00596C61" w:rsidRPr="00D50416" w:rsidRDefault="00596C61" w:rsidP="00596C61">
            <w:pPr>
              <w:ind w:firstLineChars="0" w:firstLine="0"/>
              <w:jc w:val="center"/>
            </w:pPr>
            <w:r w:rsidRPr="00D50416">
              <w:rPr>
                <w:rFonts w:hint="eastAsia"/>
              </w:rPr>
              <w:t>水文指数</w:t>
            </w:r>
          </w:p>
        </w:tc>
        <w:tc>
          <w:tcPr>
            <w:tcW w:w="1134" w:type="dxa"/>
            <w:vAlign w:val="center"/>
          </w:tcPr>
          <w:p w14:paraId="04369592" w14:textId="42C66983" w:rsidR="00596C61" w:rsidRPr="00D50416" w:rsidRDefault="00596C61" w:rsidP="00596C61">
            <w:pPr>
              <w:ind w:firstLineChars="0" w:firstLine="0"/>
              <w:jc w:val="center"/>
            </w:pPr>
            <w:r w:rsidRPr="00D50416">
              <w:rPr>
                <w:rFonts w:hint="eastAsia"/>
              </w:rPr>
              <w:t>沉积物指数</w:t>
            </w:r>
          </w:p>
        </w:tc>
        <w:tc>
          <w:tcPr>
            <w:tcW w:w="1134" w:type="dxa"/>
            <w:vAlign w:val="center"/>
          </w:tcPr>
          <w:p w14:paraId="3D14AB53" w14:textId="39908BAD" w:rsidR="00596C61" w:rsidRPr="00D50416" w:rsidRDefault="00596C61" w:rsidP="00596C61">
            <w:pPr>
              <w:ind w:firstLineChars="0" w:firstLine="0"/>
              <w:jc w:val="center"/>
            </w:pPr>
            <w:r w:rsidRPr="00D50416">
              <w:rPr>
                <w:rFonts w:hint="eastAsia"/>
              </w:rPr>
              <w:t>水环境指数</w:t>
            </w:r>
          </w:p>
        </w:tc>
        <w:tc>
          <w:tcPr>
            <w:tcW w:w="1134" w:type="dxa"/>
            <w:vAlign w:val="center"/>
          </w:tcPr>
          <w:p w14:paraId="5CFD6C36" w14:textId="3B75E59E" w:rsidR="00596C61" w:rsidRPr="00D50416" w:rsidRDefault="00596C61" w:rsidP="00596C61">
            <w:pPr>
              <w:ind w:firstLineChars="0" w:firstLine="0"/>
              <w:jc w:val="center"/>
            </w:pPr>
            <w:r w:rsidRPr="00D50416">
              <w:rPr>
                <w:rFonts w:hint="eastAsia"/>
              </w:rPr>
              <w:t>水生态指数</w:t>
            </w:r>
          </w:p>
        </w:tc>
        <w:tc>
          <w:tcPr>
            <w:tcW w:w="2268" w:type="dxa"/>
            <w:vAlign w:val="center"/>
          </w:tcPr>
          <w:p w14:paraId="012D4463" w14:textId="4A7B4744" w:rsidR="00596C61" w:rsidRPr="00D50416" w:rsidRDefault="00596C61" w:rsidP="00596C61">
            <w:pPr>
              <w:ind w:firstLineChars="0" w:firstLine="0"/>
              <w:jc w:val="center"/>
            </w:pPr>
            <w:r w:rsidRPr="00D50416">
              <w:t>生态清淤综合指数</w:t>
            </w:r>
          </w:p>
        </w:tc>
        <w:tc>
          <w:tcPr>
            <w:tcW w:w="851" w:type="dxa"/>
            <w:vAlign w:val="center"/>
          </w:tcPr>
          <w:p w14:paraId="3F780D74" w14:textId="4119F489" w:rsidR="00596C61" w:rsidRPr="00D50416" w:rsidRDefault="00596C61" w:rsidP="00596C61">
            <w:pPr>
              <w:ind w:firstLineChars="0" w:firstLine="0"/>
              <w:jc w:val="center"/>
            </w:pPr>
            <w:r w:rsidRPr="00D50416">
              <w:rPr>
                <w:rFonts w:hint="eastAsia"/>
              </w:rPr>
              <w:t>评估等级</w:t>
            </w:r>
          </w:p>
        </w:tc>
      </w:tr>
      <w:tr w:rsidR="00596C61" w:rsidRPr="00D50416" w14:paraId="26A4BDE7" w14:textId="7BA8F68D" w:rsidTr="00596C61">
        <w:trPr>
          <w:trHeight w:val="473"/>
          <w:jc w:val="center"/>
        </w:trPr>
        <w:tc>
          <w:tcPr>
            <w:tcW w:w="851" w:type="dxa"/>
            <w:vAlign w:val="center"/>
          </w:tcPr>
          <w:p w14:paraId="20523149" w14:textId="2C5606D3" w:rsidR="00596C61" w:rsidRPr="00D50416" w:rsidRDefault="00596C61" w:rsidP="00596C61">
            <w:pPr>
              <w:ind w:firstLineChars="0" w:firstLine="0"/>
              <w:jc w:val="center"/>
            </w:pPr>
            <w:proofErr w:type="spellStart"/>
            <w:r w:rsidRPr="00D50416">
              <w:rPr>
                <w:rFonts w:hint="eastAsia"/>
              </w:rPr>
              <w:t>S1</w:t>
            </w:r>
            <w:proofErr w:type="spellEnd"/>
          </w:p>
        </w:tc>
        <w:tc>
          <w:tcPr>
            <w:tcW w:w="850" w:type="dxa"/>
            <w:vAlign w:val="center"/>
          </w:tcPr>
          <w:p w14:paraId="0C397066" w14:textId="3D3C7761" w:rsidR="00596C61" w:rsidRPr="00D50416" w:rsidRDefault="00596C61" w:rsidP="00596C61">
            <w:pPr>
              <w:ind w:firstLineChars="0" w:firstLine="0"/>
              <w:jc w:val="center"/>
            </w:pPr>
            <w:r w:rsidRPr="00D50416">
              <w:t>3</w:t>
            </w:r>
          </w:p>
        </w:tc>
        <w:tc>
          <w:tcPr>
            <w:tcW w:w="1134" w:type="dxa"/>
            <w:vAlign w:val="center"/>
          </w:tcPr>
          <w:p w14:paraId="1299B959" w14:textId="06C6EE68" w:rsidR="00596C61" w:rsidRPr="00D50416" w:rsidRDefault="00596C61" w:rsidP="00596C61">
            <w:pPr>
              <w:ind w:firstLineChars="0" w:firstLine="0"/>
              <w:jc w:val="center"/>
            </w:pPr>
            <w:r w:rsidRPr="00D50416">
              <w:t>1.2</w:t>
            </w:r>
          </w:p>
        </w:tc>
        <w:tc>
          <w:tcPr>
            <w:tcW w:w="1134" w:type="dxa"/>
            <w:vAlign w:val="center"/>
          </w:tcPr>
          <w:p w14:paraId="2E6838F7" w14:textId="68849F5F" w:rsidR="00596C61" w:rsidRPr="00D50416" w:rsidRDefault="00596C61" w:rsidP="00596C61">
            <w:pPr>
              <w:ind w:firstLineChars="0" w:firstLine="0"/>
              <w:jc w:val="center"/>
            </w:pPr>
            <w:r w:rsidRPr="00D50416">
              <w:t>6.3</w:t>
            </w:r>
          </w:p>
        </w:tc>
        <w:tc>
          <w:tcPr>
            <w:tcW w:w="1134" w:type="dxa"/>
            <w:vAlign w:val="center"/>
          </w:tcPr>
          <w:p w14:paraId="6F5E26F5" w14:textId="17063D59" w:rsidR="00596C61" w:rsidRPr="00D50416" w:rsidRDefault="00596C61" w:rsidP="00596C61">
            <w:pPr>
              <w:ind w:firstLineChars="0" w:firstLine="0"/>
              <w:jc w:val="center"/>
            </w:pPr>
            <w:r w:rsidRPr="00D50416">
              <w:t>4.5</w:t>
            </w:r>
          </w:p>
        </w:tc>
        <w:tc>
          <w:tcPr>
            <w:tcW w:w="2268" w:type="dxa"/>
            <w:vAlign w:val="center"/>
          </w:tcPr>
          <w:p w14:paraId="0A096CEF" w14:textId="053BE5FA" w:rsidR="00596C61" w:rsidRPr="00D50416" w:rsidRDefault="00596C61" w:rsidP="00596C61">
            <w:pPr>
              <w:ind w:firstLineChars="0" w:firstLine="0"/>
              <w:jc w:val="center"/>
            </w:pPr>
            <w:r w:rsidRPr="00D50416">
              <w:t>3.6</w:t>
            </w:r>
          </w:p>
        </w:tc>
        <w:tc>
          <w:tcPr>
            <w:tcW w:w="851" w:type="dxa"/>
            <w:vAlign w:val="center"/>
          </w:tcPr>
          <w:p w14:paraId="1C077024" w14:textId="082EDE01" w:rsidR="00596C61" w:rsidRPr="00D50416" w:rsidRDefault="00596C61" w:rsidP="00596C61">
            <w:pPr>
              <w:ind w:firstLineChars="0" w:firstLine="0"/>
              <w:jc w:val="center"/>
            </w:pPr>
            <w:r w:rsidRPr="00D50416">
              <w:rPr>
                <w:rFonts w:hint="eastAsia"/>
              </w:rPr>
              <w:t>Ⅱ</w:t>
            </w:r>
          </w:p>
        </w:tc>
      </w:tr>
      <w:tr w:rsidR="00596C61" w:rsidRPr="00D50416" w14:paraId="3AF8363D" w14:textId="6465E4BA" w:rsidTr="00596C61">
        <w:trPr>
          <w:trHeight w:val="462"/>
          <w:jc w:val="center"/>
        </w:trPr>
        <w:tc>
          <w:tcPr>
            <w:tcW w:w="851" w:type="dxa"/>
            <w:vAlign w:val="center"/>
          </w:tcPr>
          <w:p w14:paraId="19161FC9" w14:textId="5D809EEE" w:rsidR="00596C61" w:rsidRPr="00D50416" w:rsidRDefault="00596C61" w:rsidP="00596C61">
            <w:pPr>
              <w:ind w:firstLineChars="0" w:firstLine="0"/>
              <w:jc w:val="center"/>
            </w:pPr>
            <w:proofErr w:type="spellStart"/>
            <w:r w:rsidRPr="00D50416">
              <w:rPr>
                <w:rFonts w:hint="eastAsia"/>
              </w:rPr>
              <w:t>S2</w:t>
            </w:r>
            <w:proofErr w:type="spellEnd"/>
          </w:p>
        </w:tc>
        <w:tc>
          <w:tcPr>
            <w:tcW w:w="850" w:type="dxa"/>
            <w:vAlign w:val="center"/>
          </w:tcPr>
          <w:p w14:paraId="00CE25D5" w14:textId="1B9A1BD2" w:rsidR="00596C61" w:rsidRPr="00D50416" w:rsidRDefault="00596C61" w:rsidP="00596C61">
            <w:pPr>
              <w:ind w:firstLineChars="0" w:firstLine="0"/>
              <w:jc w:val="center"/>
            </w:pPr>
            <w:r w:rsidRPr="00D50416">
              <w:t>3</w:t>
            </w:r>
          </w:p>
        </w:tc>
        <w:tc>
          <w:tcPr>
            <w:tcW w:w="1134" w:type="dxa"/>
            <w:vAlign w:val="center"/>
          </w:tcPr>
          <w:p w14:paraId="7F8E1E9D" w14:textId="229F5F2F" w:rsidR="00596C61" w:rsidRPr="00D50416" w:rsidRDefault="00596C61" w:rsidP="00596C61">
            <w:pPr>
              <w:ind w:firstLineChars="0" w:firstLine="0"/>
              <w:jc w:val="center"/>
            </w:pPr>
            <w:r w:rsidRPr="00D50416">
              <w:t>1.2</w:t>
            </w:r>
          </w:p>
        </w:tc>
        <w:tc>
          <w:tcPr>
            <w:tcW w:w="1134" w:type="dxa"/>
            <w:vAlign w:val="center"/>
          </w:tcPr>
          <w:p w14:paraId="0A395CC2" w14:textId="1ABAD066" w:rsidR="00596C61" w:rsidRPr="00D50416" w:rsidRDefault="00596C61" w:rsidP="00596C61">
            <w:pPr>
              <w:ind w:firstLineChars="0" w:firstLine="0"/>
              <w:jc w:val="center"/>
            </w:pPr>
            <w:r w:rsidRPr="00D50416">
              <w:t>3.9</w:t>
            </w:r>
          </w:p>
        </w:tc>
        <w:tc>
          <w:tcPr>
            <w:tcW w:w="1134" w:type="dxa"/>
            <w:vAlign w:val="center"/>
          </w:tcPr>
          <w:p w14:paraId="55A836E6" w14:textId="344A2B12" w:rsidR="00596C61" w:rsidRPr="00D50416" w:rsidRDefault="00596C61" w:rsidP="00596C61">
            <w:pPr>
              <w:ind w:firstLineChars="0" w:firstLine="0"/>
              <w:jc w:val="center"/>
            </w:pPr>
            <w:r w:rsidRPr="00D50416">
              <w:t>4.8</w:t>
            </w:r>
          </w:p>
        </w:tc>
        <w:tc>
          <w:tcPr>
            <w:tcW w:w="2268" w:type="dxa"/>
            <w:vAlign w:val="center"/>
          </w:tcPr>
          <w:p w14:paraId="314EE6C7" w14:textId="218CF08B" w:rsidR="00596C61" w:rsidRPr="00D50416" w:rsidRDefault="00596C61" w:rsidP="00596C61">
            <w:pPr>
              <w:ind w:firstLineChars="0" w:firstLine="0"/>
              <w:jc w:val="center"/>
            </w:pPr>
            <w:r w:rsidRPr="00D50416">
              <w:t>3.2</w:t>
            </w:r>
          </w:p>
        </w:tc>
        <w:tc>
          <w:tcPr>
            <w:tcW w:w="851" w:type="dxa"/>
            <w:vAlign w:val="center"/>
          </w:tcPr>
          <w:p w14:paraId="340490A2" w14:textId="09077F9E" w:rsidR="00596C61" w:rsidRPr="00D50416" w:rsidRDefault="00596C61" w:rsidP="00596C61">
            <w:pPr>
              <w:ind w:firstLineChars="0" w:firstLine="0"/>
              <w:jc w:val="center"/>
            </w:pPr>
            <w:r w:rsidRPr="00D50416">
              <w:rPr>
                <w:rFonts w:hint="eastAsia"/>
              </w:rPr>
              <w:t>Ⅱ</w:t>
            </w:r>
          </w:p>
        </w:tc>
      </w:tr>
      <w:tr w:rsidR="00596C61" w:rsidRPr="00D50416" w14:paraId="0E0E5032" w14:textId="2E2D6142" w:rsidTr="00596C61">
        <w:trPr>
          <w:trHeight w:val="462"/>
          <w:jc w:val="center"/>
        </w:trPr>
        <w:tc>
          <w:tcPr>
            <w:tcW w:w="851" w:type="dxa"/>
            <w:vAlign w:val="center"/>
          </w:tcPr>
          <w:p w14:paraId="5F4582BF" w14:textId="72BB3D92" w:rsidR="00596C61" w:rsidRPr="00D50416" w:rsidRDefault="00596C61" w:rsidP="00596C61">
            <w:pPr>
              <w:ind w:firstLineChars="0" w:firstLine="0"/>
              <w:jc w:val="center"/>
            </w:pPr>
            <w:proofErr w:type="spellStart"/>
            <w:r w:rsidRPr="00D50416">
              <w:rPr>
                <w:rFonts w:hint="eastAsia"/>
              </w:rPr>
              <w:t>S3</w:t>
            </w:r>
            <w:proofErr w:type="spellEnd"/>
          </w:p>
        </w:tc>
        <w:tc>
          <w:tcPr>
            <w:tcW w:w="850" w:type="dxa"/>
            <w:vAlign w:val="center"/>
          </w:tcPr>
          <w:p w14:paraId="08B5C942" w14:textId="69C90902" w:rsidR="00596C61" w:rsidRPr="00D50416" w:rsidRDefault="00596C61" w:rsidP="00596C61">
            <w:pPr>
              <w:ind w:firstLineChars="0" w:firstLine="0"/>
              <w:jc w:val="center"/>
            </w:pPr>
            <w:r w:rsidRPr="00D50416">
              <w:t>3</w:t>
            </w:r>
          </w:p>
        </w:tc>
        <w:tc>
          <w:tcPr>
            <w:tcW w:w="1134" w:type="dxa"/>
            <w:vAlign w:val="center"/>
          </w:tcPr>
          <w:p w14:paraId="40F6A3B8" w14:textId="180C9D2E" w:rsidR="00596C61" w:rsidRPr="00D50416" w:rsidRDefault="00596C61" w:rsidP="00596C61">
            <w:pPr>
              <w:ind w:firstLineChars="0" w:firstLine="0"/>
              <w:jc w:val="center"/>
            </w:pPr>
            <w:r w:rsidRPr="00D50416">
              <w:t>2.4</w:t>
            </w:r>
          </w:p>
        </w:tc>
        <w:tc>
          <w:tcPr>
            <w:tcW w:w="1134" w:type="dxa"/>
            <w:vAlign w:val="center"/>
          </w:tcPr>
          <w:p w14:paraId="50F3B344" w14:textId="323E75D2" w:rsidR="00596C61" w:rsidRPr="00D50416" w:rsidRDefault="00596C61" w:rsidP="00596C61">
            <w:pPr>
              <w:ind w:firstLineChars="0" w:firstLine="0"/>
              <w:jc w:val="center"/>
            </w:pPr>
            <w:r w:rsidRPr="00D50416">
              <w:t>2.4</w:t>
            </w:r>
          </w:p>
        </w:tc>
        <w:tc>
          <w:tcPr>
            <w:tcW w:w="1134" w:type="dxa"/>
            <w:vAlign w:val="center"/>
          </w:tcPr>
          <w:p w14:paraId="30312759" w14:textId="67F653D7" w:rsidR="00596C61" w:rsidRPr="00D50416" w:rsidRDefault="00596C61" w:rsidP="00596C61">
            <w:pPr>
              <w:ind w:firstLineChars="0" w:firstLine="0"/>
              <w:jc w:val="center"/>
            </w:pPr>
            <w:r w:rsidRPr="00D50416">
              <w:t>5.1</w:t>
            </w:r>
          </w:p>
        </w:tc>
        <w:tc>
          <w:tcPr>
            <w:tcW w:w="2268" w:type="dxa"/>
            <w:vAlign w:val="center"/>
          </w:tcPr>
          <w:p w14:paraId="68BF4D88" w14:textId="174DE4DA" w:rsidR="00596C61" w:rsidRPr="00D50416" w:rsidRDefault="00596C61" w:rsidP="00596C61">
            <w:pPr>
              <w:ind w:firstLineChars="0" w:firstLine="0"/>
              <w:jc w:val="center"/>
            </w:pPr>
            <w:r w:rsidRPr="00D50416">
              <w:t>3.3</w:t>
            </w:r>
          </w:p>
        </w:tc>
        <w:tc>
          <w:tcPr>
            <w:tcW w:w="851" w:type="dxa"/>
            <w:vAlign w:val="center"/>
          </w:tcPr>
          <w:p w14:paraId="1DF8E29E" w14:textId="7FB78D29" w:rsidR="00596C61" w:rsidRPr="00D50416" w:rsidRDefault="00596C61" w:rsidP="00596C61">
            <w:pPr>
              <w:ind w:firstLineChars="0" w:firstLine="0"/>
              <w:jc w:val="center"/>
            </w:pPr>
            <w:r w:rsidRPr="00D50416">
              <w:rPr>
                <w:rFonts w:hint="eastAsia"/>
              </w:rPr>
              <w:t>Ⅱ</w:t>
            </w:r>
          </w:p>
        </w:tc>
      </w:tr>
      <w:tr w:rsidR="00596C61" w:rsidRPr="00D50416" w14:paraId="7790DBE3" w14:textId="701A7F5E" w:rsidTr="00596C61">
        <w:trPr>
          <w:trHeight w:val="462"/>
          <w:jc w:val="center"/>
        </w:trPr>
        <w:tc>
          <w:tcPr>
            <w:tcW w:w="851" w:type="dxa"/>
            <w:vAlign w:val="center"/>
          </w:tcPr>
          <w:p w14:paraId="56275652" w14:textId="0108EAFC" w:rsidR="00596C61" w:rsidRPr="00D50416" w:rsidRDefault="00596C61" w:rsidP="00596C61">
            <w:pPr>
              <w:ind w:firstLineChars="0" w:firstLine="0"/>
              <w:jc w:val="center"/>
            </w:pPr>
            <w:proofErr w:type="spellStart"/>
            <w:r w:rsidRPr="00D50416">
              <w:rPr>
                <w:rFonts w:hint="eastAsia"/>
              </w:rPr>
              <w:t>S4</w:t>
            </w:r>
            <w:proofErr w:type="spellEnd"/>
          </w:p>
        </w:tc>
        <w:tc>
          <w:tcPr>
            <w:tcW w:w="850" w:type="dxa"/>
            <w:vAlign w:val="center"/>
          </w:tcPr>
          <w:p w14:paraId="3E275E8E" w14:textId="20F1F812" w:rsidR="00596C61" w:rsidRPr="00D50416" w:rsidRDefault="00596C61" w:rsidP="00596C61">
            <w:pPr>
              <w:ind w:firstLineChars="0" w:firstLine="0"/>
              <w:jc w:val="center"/>
            </w:pPr>
            <w:r w:rsidRPr="00D50416">
              <w:t>3</w:t>
            </w:r>
          </w:p>
        </w:tc>
        <w:tc>
          <w:tcPr>
            <w:tcW w:w="1134" w:type="dxa"/>
            <w:vAlign w:val="center"/>
          </w:tcPr>
          <w:p w14:paraId="07635477" w14:textId="465E08C6" w:rsidR="00596C61" w:rsidRPr="00D50416" w:rsidRDefault="00596C61" w:rsidP="00596C61">
            <w:pPr>
              <w:ind w:firstLineChars="0" w:firstLine="0"/>
              <w:jc w:val="center"/>
            </w:pPr>
            <w:r w:rsidRPr="00D50416">
              <w:t>1.2</w:t>
            </w:r>
          </w:p>
        </w:tc>
        <w:tc>
          <w:tcPr>
            <w:tcW w:w="1134" w:type="dxa"/>
            <w:vAlign w:val="center"/>
          </w:tcPr>
          <w:p w14:paraId="08AC1BC5" w14:textId="6FD450AE" w:rsidR="00596C61" w:rsidRPr="00D50416" w:rsidRDefault="00596C61" w:rsidP="00596C61">
            <w:pPr>
              <w:ind w:firstLineChars="0" w:firstLine="0"/>
              <w:jc w:val="center"/>
            </w:pPr>
            <w:r w:rsidRPr="00D50416">
              <w:t>2.4</w:t>
            </w:r>
          </w:p>
        </w:tc>
        <w:tc>
          <w:tcPr>
            <w:tcW w:w="1134" w:type="dxa"/>
            <w:vAlign w:val="center"/>
          </w:tcPr>
          <w:p w14:paraId="4DB2136E" w14:textId="009BBA00" w:rsidR="00596C61" w:rsidRPr="00D50416" w:rsidRDefault="00596C61" w:rsidP="00596C61">
            <w:pPr>
              <w:ind w:firstLineChars="0" w:firstLine="0"/>
              <w:jc w:val="center"/>
            </w:pPr>
            <w:r w:rsidRPr="00D50416">
              <w:t>4.8</w:t>
            </w:r>
          </w:p>
        </w:tc>
        <w:tc>
          <w:tcPr>
            <w:tcW w:w="2268" w:type="dxa"/>
            <w:vAlign w:val="center"/>
          </w:tcPr>
          <w:p w14:paraId="43A04C03" w14:textId="0C496F73" w:rsidR="00596C61" w:rsidRPr="00D50416" w:rsidRDefault="00596C61" w:rsidP="00596C61">
            <w:pPr>
              <w:ind w:firstLineChars="0" w:firstLine="0"/>
              <w:jc w:val="center"/>
            </w:pPr>
            <w:r w:rsidRPr="00D50416">
              <w:t>2.9</w:t>
            </w:r>
          </w:p>
        </w:tc>
        <w:tc>
          <w:tcPr>
            <w:tcW w:w="851" w:type="dxa"/>
            <w:vAlign w:val="center"/>
          </w:tcPr>
          <w:p w14:paraId="43952D4A" w14:textId="3FAF6A03" w:rsidR="00596C61" w:rsidRPr="00D50416" w:rsidRDefault="00596C61" w:rsidP="00596C61">
            <w:pPr>
              <w:ind w:firstLineChars="0" w:firstLine="0"/>
              <w:jc w:val="center"/>
            </w:pPr>
            <w:r w:rsidRPr="00D50416">
              <w:rPr>
                <w:rFonts w:hint="eastAsia"/>
              </w:rPr>
              <w:t>Ⅱ</w:t>
            </w:r>
          </w:p>
        </w:tc>
      </w:tr>
      <w:tr w:rsidR="00596C61" w:rsidRPr="00D50416" w14:paraId="710D324E" w14:textId="4CF73857" w:rsidTr="00596C61">
        <w:trPr>
          <w:trHeight w:val="462"/>
          <w:jc w:val="center"/>
        </w:trPr>
        <w:tc>
          <w:tcPr>
            <w:tcW w:w="851" w:type="dxa"/>
            <w:vAlign w:val="center"/>
          </w:tcPr>
          <w:p w14:paraId="0B509AA4" w14:textId="72C4F045" w:rsidR="00596C61" w:rsidRPr="00D50416" w:rsidRDefault="00596C61" w:rsidP="00596C61">
            <w:pPr>
              <w:ind w:firstLineChars="0" w:firstLine="0"/>
              <w:jc w:val="center"/>
            </w:pPr>
            <w:proofErr w:type="spellStart"/>
            <w:r w:rsidRPr="00D50416">
              <w:rPr>
                <w:rFonts w:hint="eastAsia"/>
              </w:rPr>
              <w:t>S5</w:t>
            </w:r>
            <w:proofErr w:type="spellEnd"/>
          </w:p>
        </w:tc>
        <w:tc>
          <w:tcPr>
            <w:tcW w:w="850" w:type="dxa"/>
            <w:vAlign w:val="center"/>
          </w:tcPr>
          <w:p w14:paraId="2E492CC4" w14:textId="16672E21" w:rsidR="00596C61" w:rsidRPr="00D50416" w:rsidRDefault="00596C61" w:rsidP="00596C61">
            <w:pPr>
              <w:ind w:firstLineChars="0" w:firstLine="0"/>
              <w:jc w:val="center"/>
            </w:pPr>
            <w:r w:rsidRPr="00D50416">
              <w:t>3</w:t>
            </w:r>
          </w:p>
        </w:tc>
        <w:tc>
          <w:tcPr>
            <w:tcW w:w="1134" w:type="dxa"/>
            <w:vAlign w:val="center"/>
          </w:tcPr>
          <w:p w14:paraId="484734F8" w14:textId="27771974" w:rsidR="00596C61" w:rsidRPr="00D50416" w:rsidRDefault="00596C61" w:rsidP="00596C61">
            <w:pPr>
              <w:ind w:firstLineChars="0" w:firstLine="0"/>
              <w:jc w:val="center"/>
            </w:pPr>
            <w:r w:rsidRPr="00D50416">
              <w:t>1.2</w:t>
            </w:r>
          </w:p>
        </w:tc>
        <w:tc>
          <w:tcPr>
            <w:tcW w:w="1134" w:type="dxa"/>
            <w:vAlign w:val="center"/>
          </w:tcPr>
          <w:p w14:paraId="6EC7D8CB" w14:textId="7F32E988" w:rsidR="00596C61" w:rsidRPr="00D50416" w:rsidRDefault="00596C61" w:rsidP="00596C61">
            <w:pPr>
              <w:ind w:firstLineChars="0" w:firstLine="0"/>
              <w:jc w:val="center"/>
            </w:pPr>
            <w:r w:rsidRPr="00D50416">
              <w:t>6.3</w:t>
            </w:r>
          </w:p>
        </w:tc>
        <w:tc>
          <w:tcPr>
            <w:tcW w:w="1134" w:type="dxa"/>
            <w:vAlign w:val="center"/>
          </w:tcPr>
          <w:p w14:paraId="03D4E7A0" w14:textId="336C85AA" w:rsidR="00596C61" w:rsidRPr="00D50416" w:rsidRDefault="00596C61" w:rsidP="00596C61">
            <w:pPr>
              <w:ind w:firstLineChars="0" w:firstLine="0"/>
              <w:jc w:val="center"/>
            </w:pPr>
            <w:r w:rsidRPr="00D50416">
              <w:t>4.5</w:t>
            </w:r>
          </w:p>
        </w:tc>
        <w:tc>
          <w:tcPr>
            <w:tcW w:w="2268" w:type="dxa"/>
            <w:vAlign w:val="center"/>
          </w:tcPr>
          <w:p w14:paraId="19C68C9D" w14:textId="62656C24" w:rsidR="00596C61" w:rsidRPr="00D50416" w:rsidRDefault="00596C61" w:rsidP="00596C61">
            <w:pPr>
              <w:ind w:firstLineChars="0" w:firstLine="0"/>
              <w:jc w:val="center"/>
            </w:pPr>
            <w:r w:rsidRPr="00D50416">
              <w:t>3.6</w:t>
            </w:r>
          </w:p>
        </w:tc>
        <w:tc>
          <w:tcPr>
            <w:tcW w:w="851" w:type="dxa"/>
            <w:vAlign w:val="center"/>
          </w:tcPr>
          <w:p w14:paraId="43392DE2" w14:textId="4782C257" w:rsidR="00596C61" w:rsidRPr="00D50416" w:rsidRDefault="00596C61" w:rsidP="00596C61">
            <w:pPr>
              <w:ind w:firstLineChars="0" w:firstLine="0"/>
              <w:jc w:val="center"/>
            </w:pPr>
            <w:r w:rsidRPr="00D50416">
              <w:rPr>
                <w:rFonts w:hint="eastAsia"/>
              </w:rPr>
              <w:t>Ⅱ</w:t>
            </w:r>
          </w:p>
        </w:tc>
      </w:tr>
      <w:tr w:rsidR="00596C61" w:rsidRPr="00D50416" w14:paraId="176DC056" w14:textId="77777777" w:rsidTr="00596C61">
        <w:trPr>
          <w:trHeight w:val="462"/>
          <w:jc w:val="center"/>
        </w:trPr>
        <w:tc>
          <w:tcPr>
            <w:tcW w:w="851" w:type="dxa"/>
            <w:vAlign w:val="center"/>
          </w:tcPr>
          <w:p w14:paraId="1145F5FC" w14:textId="6EF67C3C" w:rsidR="00596C61" w:rsidRPr="00D50416" w:rsidRDefault="00596C61" w:rsidP="00596C61">
            <w:pPr>
              <w:ind w:firstLineChars="0" w:firstLine="0"/>
              <w:jc w:val="center"/>
            </w:pPr>
            <w:proofErr w:type="spellStart"/>
            <w:r w:rsidRPr="00D50416">
              <w:rPr>
                <w:rFonts w:hint="eastAsia"/>
              </w:rPr>
              <w:t>S6</w:t>
            </w:r>
            <w:proofErr w:type="spellEnd"/>
          </w:p>
        </w:tc>
        <w:tc>
          <w:tcPr>
            <w:tcW w:w="850" w:type="dxa"/>
            <w:vAlign w:val="center"/>
          </w:tcPr>
          <w:p w14:paraId="43FA891B" w14:textId="67F27DFD" w:rsidR="00596C61" w:rsidRPr="00D50416" w:rsidRDefault="00596C61" w:rsidP="00596C61">
            <w:pPr>
              <w:ind w:firstLineChars="0" w:firstLine="0"/>
              <w:jc w:val="center"/>
            </w:pPr>
            <w:r w:rsidRPr="00D50416">
              <w:t>3</w:t>
            </w:r>
          </w:p>
        </w:tc>
        <w:tc>
          <w:tcPr>
            <w:tcW w:w="1134" w:type="dxa"/>
            <w:vAlign w:val="center"/>
          </w:tcPr>
          <w:p w14:paraId="7D6AB25D" w14:textId="5CD835BD" w:rsidR="00596C61" w:rsidRPr="00D50416" w:rsidRDefault="00596C61" w:rsidP="00596C61">
            <w:pPr>
              <w:ind w:firstLineChars="0" w:firstLine="0"/>
              <w:jc w:val="center"/>
            </w:pPr>
            <w:r w:rsidRPr="00D50416">
              <w:t>1.2</w:t>
            </w:r>
          </w:p>
        </w:tc>
        <w:tc>
          <w:tcPr>
            <w:tcW w:w="1134" w:type="dxa"/>
            <w:vAlign w:val="center"/>
          </w:tcPr>
          <w:p w14:paraId="014986A9" w14:textId="6D9283E6" w:rsidR="00596C61" w:rsidRPr="00D50416" w:rsidRDefault="00596C61" w:rsidP="00596C61">
            <w:pPr>
              <w:ind w:firstLineChars="0" w:firstLine="0"/>
              <w:jc w:val="center"/>
            </w:pPr>
            <w:r w:rsidRPr="00D50416">
              <w:t>0.9</w:t>
            </w:r>
          </w:p>
        </w:tc>
        <w:tc>
          <w:tcPr>
            <w:tcW w:w="1134" w:type="dxa"/>
            <w:vAlign w:val="center"/>
          </w:tcPr>
          <w:p w14:paraId="7CBFB205" w14:textId="28DB1281" w:rsidR="00596C61" w:rsidRPr="00D50416" w:rsidRDefault="00596C61" w:rsidP="00596C61">
            <w:pPr>
              <w:ind w:firstLineChars="0" w:firstLine="0"/>
              <w:jc w:val="center"/>
            </w:pPr>
            <w:r w:rsidRPr="00D50416">
              <w:t>4.2</w:t>
            </w:r>
          </w:p>
        </w:tc>
        <w:tc>
          <w:tcPr>
            <w:tcW w:w="2268" w:type="dxa"/>
            <w:vAlign w:val="center"/>
          </w:tcPr>
          <w:p w14:paraId="611D6599" w14:textId="7761B3C1" w:rsidR="00596C61" w:rsidRPr="00D50416" w:rsidRDefault="00596C61" w:rsidP="00596C61">
            <w:pPr>
              <w:ind w:firstLineChars="0" w:firstLine="0"/>
              <w:jc w:val="center"/>
            </w:pPr>
            <w:r w:rsidRPr="00D50416">
              <w:t>2.4</w:t>
            </w:r>
          </w:p>
        </w:tc>
        <w:tc>
          <w:tcPr>
            <w:tcW w:w="851" w:type="dxa"/>
            <w:vAlign w:val="center"/>
          </w:tcPr>
          <w:p w14:paraId="3FCF86A8" w14:textId="7E6667DB" w:rsidR="00596C61" w:rsidRPr="00D50416" w:rsidRDefault="00596C61" w:rsidP="00596C61">
            <w:pPr>
              <w:ind w:firstLineChars="0" w:firstLine="0"/>
              <w:jc w:val="center"/>
            </w:pPr>
            <w:r w:rsidRPr="00D50416">
              <w:rPr>
                <w:rFonts w:hint="eastAsia"/>
              </w:rPr>
              <w:t>Ⅱ</w:t>
            </w:r>
          </w:p>
        </w:tc>
      </w:tr>
    </w:tbl>
    <w:p w14:paraId="789F87A3" w14:textId="13760F09" w:rsidR="00596C61" w:rsidRDefault="00D50416" w:rsidP="00A90143">
      <w:pPr>
        <w:ind w:firstLine="480"/>
      </w:pPr>
      <w:r w:rsidRPr="00D50416">
        <w:t>验算结果表明，研究区内</w:t>
      </w:r>
      <w:r w:rsidRPr="00D50416">
        <w:t>6</w:t>
      </w:r>
      <w:r w:rsidRPr="00D50416">
        <w:t>个调查站位综合评估等级均判定为</w:t>
      </w:r>
      <w:r w:rsidRPr="00D50416">
        <w:t>Ⅱ</w:t>
      </w:r>
      <w:r w:rsidRPr="00D50416">
        <w:t>级，整体处于轻度淤积状态，全域无需要开展高强度生态清淤的高风险站位。各分项指数的空间分布特征存在明显差异，水环境指数表现出较强的空间异质性，</w:t>
      </w:r>
      <w:proofErr w:type="spellStart"/>
      <w:r w:rsidRPr="00D50416">
        <w:t>S6</w:t>
      </w:r>
      <w:proofErr w:type="spellEnd"/>
      <w:r w:rsidRPr="00D50416">
        <w:t>站位水环境指数仅为</w:t>
      </w:r>
      <w:r w:rsidRPr="00D50416">
        <w:t>0.9</w:t>
      </w:r>
      <w:r w:rsidRPr="00D50416">
        <w:t>，为全部站位的最低水平，水环境要素成为该站位综合评估结果的主要限制因子；</w:t>
      </w:r>
      <w:proofErr w:type="spellStart"/>
      <w:r w:rsidRPr="00D50416">
        <w:t>S3</w:t>
      </w:r>
      <w:proofErr w:type="spellEnd"/>
      <w:r w:rsidRPr="00D50416">
        <w:t>站位沉积物指数相对高于其余站位，反映该点位沉积物环境存在一定潜在风险压力。各站位水生态指数整体维持在较高区间，区域水生生态群落结构总体相对稳定，未出现明显的生态受损现象。各站位生态清淤综合评估指数介于</w:t>
      </w:r>
      <w:r w:rsidRPr="00D50416">
        <w:t>2.4</w:t>
      </w:r>
      <w:r>
        <w:rPr>
          <w:rFonts w:hint="eastAsia"/>
        </w:rPr>
        <w:t>~</w:t>
      </w:r>
      <w:r w:rsidRPr="00D50416">
        <w:t>3.6</w:t>
      </w:r>
      <w:r w:rsidRPr="00D50416">
        <w:t>区间，不同站位综合得分的差异主要来源于水环境、沉积物两项分项指数的空间波动。评价结果与椒江河口夏季海域现场监测获取的基础数据、区域固有环境禀赋特征具备良好的匹配度，能够客观表征该海域底泥淤积及环境风险的空间分布格局。</w:t>
      </w:r>
    </w:p>
    <w:p w14:paraId="393CD048" w14:textId="77777777" w:rsidR="00596C61" w:rsidRDefault="00596C61" w:rsidP="00A90143">
      <w:pPr>
        <w:ind w:firstLine="480"/>
      </w:pPr>
    </w:p>
    <w:p w14:paraId="43BBED78" w14:textId="77777777" w:rsidR="00A90143" w:rsidRDefault="00A90143" w:rsidP="008820FD">
      <w:pPr>
        <w:pStyle w:val="2"/>
      </w:pPr>
      <w:bookmarkStart w:id="23" w:name="_Toc239001640"/>
      <w:r>
        <w:rPr>
          <w:rFonts w:hint="eastAsia"/>
        </w:rPr>
        <w:lastRenderedPageBreak/>
        <w:t xml:space="preserve">4.3 </w:t>
      </w:r>
      <w:r>
        <w:rPr>
          <w:rFonts w:hint="eastAsia"/>
        </w:rPr>
        <w:t>验证结论</w:t>
      </w:r>
      <w:bookmarkEnd w:id="23"/>
    </w:p>
    <w:p w14:paraId="0C83220B" w14:textId="65B8151B" w:rsidR="0058126F" w:rsidRDefault="00D50416" w:rsidP="0058126F">
      <w:pPr>
        <w:ind w:firstLine="480"/>
      </w:pPr>
      <w:r>
        <w:rPr>
          <w:rFonts w:hint="eastAsia"/>
        </w:rPr>
        <w:t>选取</w:t>
      </w:r>
      <w:r w:rsidR="0058126F">
        <w:rPr>
          <w:rFonts w:hint="eastAsia"/>
        </w:rPr>
        <w:t>椒江河口现场获取的水文、沉积物、水环境、水生态多要素实测数据，代入本文件评估体系完成完整案例验算。结果显示，评价单元综合评估等级以Ⅱ级（轻度淤积）为主，区域底泥未发生显著污染淤积，河口生态功能未受明显扰动，评估结论与椒江河口实际环境现状基本吻合。</w:t>
      </w:r>
    </w:p>
    <w:p w14:paraId="7F37299B" w14:textId="1DBDC9A7" w:rsidR="00D448F7" w:rsidRDefault="0058126F" w:rsidP="0058126F">
      <w:pPr>
        <w:ind w:firstLine="480"/>
      </w:pPr>
      <w:r>
        <w:rPr>
          <w:rFonts w:hint="eastAsia"/>
        </w:rPr>
        <w:t>验算结果表明，本文件构建的指标体系、权重设置、分级阈值及加权计算流程，可客观表征入海河口底泥淤积水平与生态受损程度，评估逻辑严谨，技术可操作性较好。针对本案例整体判定为Ⅱ级、不存在高强度清淤需求的工况，该方法仍可识别局部潜在环境风险点位，能够为河口后续动态监测与管控工作提供技术支撑，整套评估方法具备良好的科学性与适用性。</w:t>
      </w:r>
    </w:p>
    <w:p w14:paraId="2544F992" w14:textId="77777777" w:rsidR="00D448F7" w:rsidRDefault="00D448F7" w:rsidP="00D448F7">
      <w:pPr>
        <w:ind w:firstLine="480"/>
      </w:pPr>
    </w:p>
    <w:p w14:paraId="0F46756E" w14:textId="3E1E2B69" w:rsidR="00D448F7" w:rsidRDefault="00D448F7">
      <w:pPr>
        <w:widowControl/>
        <w:spacing w:line="240" w:lineRule="auto"/>
        <w:ind w:firstLineChars="0" w:firstLine="0"/>
        <w:jc w:val="left"/>
      </w:pPr>
      <w:r>
        <w:br w:type="page"/>
      </w:r>
    </w:p>
    <w:p w14:paraId="0C396108" w14:textId="7696E6CE" w:rsidR="006651EC" w:rsidRDefault="00C67879">
      <w:pPr>
        <w:pStyle w:val="1"/>
      </w:pPr>
      <w:bookmarkStart w:id="24" w:name="_Toc2494"/>
      <w:bookmarkStart w:id="25" w:name="_Toc239001641"/>
      <w:r>
        <w:rPr>
          <w:rFonts w:hint="eastAsia"/>
        </w:rPr>
        <w:lastRenderedPageBreak/>
        <w:t>5</w:t>
      </w:r>
      <w:r w:rsidR="002D5D0E">
        <w:t xml:space="preserve"> </w:t>
      </w:r>
      <w:r w:rsidR="002D5D0E">
        <w:t>与现行有关法律、法规和强制性标准的关系</w:t>
      </w:r>
      <w:bookmarkEnd w:id="24"/>
      <w:bookmarkEnd w:id="25"/>
    </w:p>
    <w:p w14:paraId="578E6D09" w14:textId="66EABA2B" w:rsidR="00867832" w:rsidRPr="00D448F7" w:rsidRDefault="00867832" w:rsidP="00867832">
      <w:pPr>
        <w:snapToGrid w:val="0"/>
        <w:spacing w:line="520" w:lineRule="exact"/>
        <w:ind w:firstLine="480"/>
        <w:rPr>
          <w:kern w:val="0"/>
        </w:rPr>
      </w:pPr>
      <w:r w:rsidRPr="00867832">
        <w:rPr>
          <w:rFonts w:hint="eastAsia"/>
          <w:kern w:val="0"/>
        </w:rPr>
        <w:t>本标准围绕入海河口生态清淤评估开展指标体系、监测技术、分级评价等相关技术规定，整体内容</w:t>
      </w:r>
      <w:r>
        <w:rPr>
          <w:rFonts w:hint="eastAsia"/>
          <w:kern w:val="0"/>
        </w:rPr>
        <w:t>符合</w:t>
      </w:r>
      <w:r w:rsidRPr="00867832">
        <w:rPr>
          <w:rFonts w:hint="eastAsia"/>
          <w:kern w:val="0"/>
        </w:rPr>
        <w:t>《中华人民共和国海洋环境保护法》《中华人民共和国环境保护法》《中华人民共和国水污染防治法》等</w:t>
      </w:r>
      <w:r>
        <w:rPr>
          <w:rFonts w:hint="eastAsia"/>
          <w:kern w:val="0"/>
        </w:rPr>
        <w:t>相关</w:t>
      </w:r>
      <w:r w:rsidRPr="00867832">
        <w:rPr>
          <w:rFonts w:hint="eastAsia"/>
          <w:kern w:val="0"/>
        </w:rPr>
        <w:t>法律法规</w:t>
      </w:r>
      <w:r>
        <w:rPr>
          <w:rFonts w:hint="eastAsia"/>
          <w:kern w:val="0"/>
        </w:rPr>
        <w:t>的有关规定</w:t>
      </w:r>
      <w:r w:rsidRPr="00867832">
        <w:rPr>
          <w:rFonts w:hint="eastAsia"/>
          <w:kern w:val="0"/>
        </w:rPr>
        <w:t>。</w:t>
      </w:r>
      <w:r w:rsidRPr="00D448F7">
        <w:rPr>
          <w:rFonts w:hint="eastAsia"/>
          <w:kern w:val="0"/>
        </w:rPr>
        <w:t>同时引用了部分已有的标准，如</w:t>
      </w:r>
      <w:r w:rsidR="00DD0D21" w:rsidRPr="00DD0D21">
        <w:rPr>
          <w:kern w:val="0"/>
        </w:rPr>
        <w:t>《海洋监测规范》（</w:t>
      </w:r>
      <w:r w:rsidR="00DD0D21" w:rsidRPr="00DD0D21">
        <w:rPr>
          <w:kern w:val="0"/>
        </w:rPr>
        <w:t>GB 17378</w:t>
      </w:r>
      <w:r w:rsidR="00DD0D21">
        <w:rPr>
          <w:rFonts w:hint="eastAsia"/>
          <w:kern w:val="0"/>
        </w:rPr>
        <w:t>系列</w:t>
      </w:r>
      <w:r w:rsidR="00DD0D21" w:rsidRPr="00DD0D21">
        <w:rPr>
          <w:kern w:val="0"/>
        </w:rPr>
        <w:t>）、《海洋沉积物质量》（</w:t>
      </w:r>
      <w:r w:rsidR="00DD0D21" w:rsidRPr="00DD0D21">
        <w:rPr>
          <w:kern w:val="0"/>
        </w:rPr>
        <w:t>GB 18668‑2002</w:t>
      </w:r>
      <w:r w:rsidR="00DD0D21" w:rsidRPr="00DD0D21">
        <w:rPr>
          <w:kern w:val="0"/>
        </w:rPr>
        <w:t>）、《海水水质标准》（</w:t>
      </w:r>
      <w:r w:rsidR="00DD0D21" w:rsidRPr="00DD0D21">
        <w:rPr>
          <w:kern w:val="0"/>
        </w:rPr>
        <w:t>GB 3097‑1997</w:t>
      </w:r>
      <w:r w:rsidR="00DD0D21" w:rsidRPr="00DD0D21">
        <w:rPr>
          <w:kern w:val="0"/>
        </w:rPr>
        <w:t>）等现行标准，标准技术内容与现行法律、法规和相关标准协调一致，不存在冲突。</w:t>
      </w:r>
    </w:p>
    <w:p w14:paraId="6D66ABBD" w14:textId="1D78AA95" w:rsidR="00867832" w:rsidRDefault="00867832" w:rsidP="00D448F7">
      <w:pPr>
        <w:snapToGrid w:val="0"/>
        <w:spacing w:line="520" w:lineRule="exact"/>
        <w:ind w:firstLine="480"/>
        <w:rPr>
          <w:kern w:val="0"/>
        </w:rPr>
      </w:pPr>
      <w:r w:rsidRPr="00D448F7">
        <w:rPr>
          <w:rFonts w:hint="eastAsia"/>
          <w:kern w:val="0"/>
        </w:rPr>
        <w:t>综上，本标准在制定过程中充分考虑了现行法律、法规及强制性标准的要求，确保技术内容协调一致。所引用标准均为行业广泛认可的技术规范，能够有效支撑本标准的实施与应用。</w:t>
      </w:r>
    </w:p>
    <w:p w14:paraId="2D3103B1" w14:textId="397A6D3B" w:rsidR="006651EC" w:rsidRDefault="000F521E">
      <w:pPr>
        <w:pStyle w:val="1"/>
      </w:pPr>
      <w:bookmarkStart w:id="26" w:name="_Toc239001642"/>
      <w:r>
        <w:rPr>
          <w:rFonts w:hint="eastAsia"/>
        </w:rPr>
        <w:t>6</w:t>
      </w:r>
      <w:r w:rsidR="002D5D0E">
        <w:rPr>
          <w:rFonts w:hint="eastAsia"/>
        </w:rPr>
        <w:t xml:space="preserve"> </w:t>
      </w:r>
      <w:r w:rsidR="002D5D0E">
        <w:rPr>
          <w:rFonts w:hint="eastAsia"/>
        </w:rPr>
        <w:t>贯彻学会标准的要求和措施建议</w:t>
      </w:r>
      <w:bookmarkEnd w:id="26"/>
    </w:p>
    <w:p w14:paraId="29CBFEC3" w14:textId="77777777" w:rsidR="00D448F7" w:rsidRDefault="00D448F7">
      <w:pPr>
        <w:spacing w:line="520" w:lineRule="exact"/>
        <w:ind w:firstLine="480"/>
        <w:rPr>
          <w:rFonts w:ascii="宋体" w:hAnsi="宋体" w:hint="eastAsia"/>
          <w:color w:val="000000"/>
        </w:rPr>
      </w:pPr>
      <w:r w:rsidRPr="00D448F7">
        <w:rPr>
          <w:rFonts w:ascii="宋体" w:hAnsi="宋体"/>
          <w:color w:val="000000"/>
        </w:rPr>
        <w:t>本标准自发布之日起实施，建议在批准发布后</w:t>
      </w:r>
      <w:r w:rsidRPr="00397082">
        <w:rPr>
          <w:color w:val="000000"/>
        </w:rPr>
        <w:t>6</w:t>
      </w:r>
      <w:r w:rsidRPr="00D448F7">
        <w:rPr>
          <w:rFonts w:ascii="宋体" w:hAnsi="宋体"/>
          <w:color w:val="000000"/>
        </w:rPr>
        <w:t>个月内实施。</w:t>
      </w:r>
    </w:p>
    <w:p w14:paraId="3ACB7BF8" w14:textId="18F27DAC" w:rsidR="00D448F7" w:rsidRDefault="00D448F7">
      <w:pPr>
        <w:spacing w:line="520" w:lineRule="exact"/>
        <w:ind w:firstLine="480"/>
        <w:rPr>
          <w:rFonts w:ascii="宋体" w:hAnsi="宋体" w:hint="eastAsia"/>
          <w:color w:val="000000"/>
        </w:rPr>
      </w:pPr>
      <w:r w:rsidRPr="00D448F7">
        <w:rPr>
          <w:rFonts w:ascii="宋体" w:hAnsi="宋体"/>
          <w:color w:val="000000"/>
        </w:rPr>
        <w:t>本标准发布后，应向海洋行业相关单位，尤其是入海河口生态清淤评估相关的各高校、研究所、企事业单位进行宣传，向所有从事河口生态修复与底泥清淤工作的相关人员推荐执行本标准。</w:t>
      </w:r>
    </w:p>
    <w:p w14:paraId="24DDB368" w14:textId="77777777" w:rsidR="00D448F7" w:rsidRDefault="00D448F7">
      <w:pPr>
        <w:spacing w:line="520" w:lineRule="exact"/>
        <w:ind w:firstLine="480"/>
        <w:rPr>
          <w:rFonts w:ascii="宋体" w:hAnsi="宋体" w:hint="eastAsia"/>
          <w:color w:val="000000"/>
        </w:rPr>
      </w:pPr>
    </w:p>
    <w:p w14:paraId="477B8B9E" w14:textId="001C5983" w:rsidR="006651EC" w:rsidRDefault="000F521E">
      <w:pPr>
        <w:pStyle w:val="1"/>
      </w:pPr>
      <w:bookmarkStart w:id="27" w:name="_Toc239001643"/>
      <w:r>
        <w:rPr>
          <w:rFonts w:hint="eastAsia"/>
        </w:rPr>
        <w:t>7</w:t>
      </w:r>
      <w:r w:rsidR="002D5D0E">
        <w:rPr>
          <w:rFonts w:hint="eastAsia"/>
        </w:rPr>
        <w:t xml:space="preserve"> </w:t>
      </w:r>
      <w:r w:rsidR="002D5D0E">
        <w:rPr>
          <w:rFonts w:hint="eastAsia"/>
        </w:rPr>
        <w:t>其他应予说明的事项</w:t>
      </w:r>
      <w:bookmarkEnd w:id="27"/>
    </w:p>
    <w:p w14:paraId="69A7FE25" w14:textId="77777777" w:rsidR="006651EC" w:rsidRDefault="002D5D0E">
      <w:pPr>
        <w:spacing w:line="520" w:lineRule="exact"/>
        <w:ind w:firstLine="480"/>
        <w:rPr>
          <w:rFonts w:ascii="宋体" w:hAnsi="宋体" w:hint="eastAsia"/>
          <w:color w:val="000000"/>
        </w:rPr>
      </w:pPr>
      <w:r>
        <w:rPr>
          <w:rFonts w:ascii="宋体" w:hAnsi="宋体" w:hint="eastAsia"/>
          <w:color w:val="000000"/>
        </w:rPr>
        <w:t>无。</w:t>
      </w:r>
    </w:p>
    <w:sectPr w:rsidR="006651EC" w:rsidSect="00971276">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807F" w14:textId="77777777" w:rsidR="00970445" w:rsidRDefault="00970445">
      <w:pPr>
        <w:spacing w:line="240" w:lineRule="auto"/>
        <w:ind w:firstLine="480"/>
      </w:pPr>
      <w:r>
        <w:separator/>
      </w:r>
    </w:p>
  </w:endnote>
  <w:endnote w:type="continuationSeparator" w:id="0">
    <w:p w14:paraId="5BABDC91" w14:textId="77777777" w:rsidR="00970445" w:rsidRDefault="00970445">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embedRegular r:id="rId1" w:subsetted="1" w:fontKey="{81C97C35-4C87-4520-9E3A-A8681C74E0AE}"/>
    <w:embedBold r:id="rId2" w:subsetted="1" w:fontKey="{7FB5E3CD-3676-49A3-9044-3C86038573F6}"/>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方正仿宋简体">
    <w:altName w:val="微软雅黑"/>
    <w:charset w:val="86"/>
    <w:family w:val="auto"/>
    <w:pitch w:val="default"/>
    <w:sig w:usb0="A00002BF" w:usb1="184F6CFA" w:usb2="00000012" w:usb3="00000000" w:csb0="00040001" w:csb1="00000000"/>
  </w:font>
  <w:font w:name="方正小标宋简体">
    <w:altName w:val="微软雅黑"/>
    <w:charset w:val="86"/>
    <w:family w:val="auto"/>
    <w:pitch w:val="default"/>
    <w:sig w:usb0="00000001" w:usb1="080E0000" w:usb2="00000000" w:usb3="00000000" w:csb0="00040000" w:csb1="00000000"/>
    <w:embedRegular r:id="rId3" w:subsetted="1" w:fontKey="{2815B0CA-DFCB-4C47-A3FB-085DE1E6A94B}"/>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E230" w14:textId="77777777" w:rsidR="006651EC" w:rsidRDefault="006651EC">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0ADC" w14:textId="77777777" w:rsidR="006651EC" w:rsidRDefault="006651EC">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6116" w14:textId="77777777" w:rsidR="006651EC" w:rsidRDefault="006651EC">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72ED" w14:textId="77777777" w:rsidR="006651EC" w:rsidRDefault="002D5D0E">
    <w:pPr>
      <w:pStyle w:val="a7"/>
      <w:ind w:firstLine="360"/>
    </w:pPr>
    <w:r>
      <w:rPr>
        <w:noProof/>
      </w:rPr>
      <mc:AlternateContent>
        <mc:Choice Requires="wps">
          <w:drawing>
            <wp:anchor distT="0" distB="0" distL="114300" distR="114300" simplePos="0" relativeHeight="251659264" behindDoc="0" locked="0" layoutInCell="1" allowOverlap="1" wp14:anchorId="332D2DC0" wp14:editId="719F255C">
              <wp:simplePos x="0" y="0"/>
              <wp:positionH relativeFrom="margin">
                <wp:posOffset>2487440</wp:posOffset>
              </wp:positionH>
              <wp:positionV relativeFrom="paragraph">
                <wp:posOffset>2917</wp:posOffset>
              </wp:positionV>
              <wp:extent cx="1023041" cy="271604"/>
              <wp:effectExtent l="0" t="0" r="5715" b="14605"/>
              <wp:wrapNone/>
              <wp:docPr id="17" name="文本框 17"/>
              <wp:cNvGraphicFramePr/>
              <a:graphic xmlns:a="http://schemas.openxmlformats.org/drawingml/2006/main">
                <a:graphicData uri="http://schemas.microsoft.com/office/word/2010/wordprocessingShape">
                  <wps:wsp>
                    <wps:cNvSpPr txBox="1"/>
                    <wps:spPr>
                      <a:xfrm>
                        <a:off x="0" y="0"/>
                        <a:ext cx="1023041" cy="2716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53788" w14:textId="77777777" w:rsidR="006651EC" w:rsidRDefault="002D5D0E">
                          <w:pPr>
                            <w:pStyle w:val="a7"/>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332D2DC0" id="_x0000_t202" coordsize="21600,21600" o:spt="202" path="m,l,21600r21600,l21600,xe">
              <v:stroke joinstyle="miter"/>
              <v:path gradientshapeok="t" o:connecttype="rect"/>
            </v:shapetype>
            <v:shape id="文本框 17" o:spid="_x0000_s1026" type="#_x0000_t202" style="position:absolute;left:0;text-align:left;margin-left:195.85pt;margin-top:.25pt;width:80.55pt;height:2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" filled="f" stroked="f" strokeweight=".5pt">
              <v:textbox inset="0,0,0,0">
                <w:txbxContent>
                  <w:p w14:paraId="3EA53788" w14:textId="77777777" w:rsidR="006651EC" w:rsidRDefault="002D5D0E">
                    <w:pPr>
                      <w:pStyle w:val="a7"/>
                      <w:ind w:firstLine="360"/>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BD774" w14:textId="77777777" w:rsidR="00970445" w:rsidRDefault="00970445">
      <w:pPr>
        <w:spacing w:line="240" w:lineRule="auto"/>
        <w:ind w:firstLine="480"/>
      </w:pPr>
      <w:r>
        <w:separator/>
      </w:r>
    </w:p>
  </w:footnote>
  <w:footnote w:type="continuationSeparator" w:id="0">
    <w:p w14:paraId="0832819D" w14:textId="77777777" w:rsidR="00970445" w:rsidRDefault="00970445">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DDB3" w14:textId="77777777" w:rsidR="006651EC" w:rsidRDefault="006651EC">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A3E" w14:textId="77777777" w:rsidR="006651EC" w:rsidRDefault="006651EC">
    <w:pPr>
      <w:pStyle w:val="a8"/>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E346" w14:textId="77777777" w:rsidR="006651EC" w:rsidRDefault="006651EC">
    <w:pPr>
      <w:pStyle w:val="a8"/>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9B3111"/>
    <w:multiLevelType w:val="multilevel"/>
    <w:tmpl w:val="F99B3111"/>
    <w:lvl w:ilvl="0">
      <w:start w:val="1"/>
      <w:numFmt w:val="decimal"/>
      <w:suff w:val="space"/>
      <w:lvlText w:val="%1"/>
      <w:lvlJc w:val="left"/>
      <w:pPr>
        <w:ind w:left="440" w:hanging="440"/>
      </w:pPr>
      <w:rPr>
        <w:rFonts w:ascii="黑体" w:eastAsia="黑体" w:hAnsi="宋体" w:cs="黑体" w:hint="eastAsia"/>
        <w:b w:val="0"/>
        <w:i w:val="0"/>
        <w:sz w:val="21"/>
        <w:szCs w:val="21"/>
      </w:rPr>
    </w:lvl>
    <w:lvl w:ilvl="1">
      <w:start w:val="1"/>
      <w:numFmt w:val="decimal"/>
      <w:pStyle w:val="-11"/>
      <w:suff w:val="space"/>
      <w:lvlText w:val="%1.%2"/>
      <w:lvlJc w:val="left"/>
      <w:pPr>
        <w:ind w:left="442" w:hanging="442"/>
      </w:pPr>
      <w:rPr>
        <w:rFonts w:ascii="黑体" w:hAnsi="宋体"/>
      </w:rPr>
    </w:lvl>
    <w:lvl w:ilvl="2">
      <w:start w:val="1"/>
      <w:numFmt w:val="decimal"/>
      <w:pStyle w:val="111"/>
      <w:suff w:val="space"/>
      <w:lvlText w:val="%1.%2.%3"/>
      <w:lvlJc w:val="left"/>
      <w:pPr>
        <w:ind w:left="442" w:hanging="442"/>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862122E"/>
    <w:multiLevelType w:val="multilevel"/>
    <w:tmpl w:val="2B420F32"/>
    <w:lvl w:ilvl="0">
      <w:start w:val="1"/>
      <w:numFmt w:val="decimal"/>
      <w:suff w:val="nothing"/>
      <w:lvlText w:val="注%1："/>
      <w:lvlJc w:val="left"/>
      <w:pPr>
        <w:ind w:left="811" w:hanging="448"/>
      </w:pPr>
      <w:rPr>
        <w:rFonts w:ascii="黑体" w:eastAsia="黑体" w:hAnsi="黑体" w:hint="eastAsia"/>
        <w:b w:val="0"/>
        <w:i w:val="0"/>
        <w:sz w:val="18"/>
        <w:szCs w:val="18"/>
      </w:rPr>
    </w:lvl>
    <w:lvl w:ilvl="1">
      <w:start w:val="1"/>
      <w:numFmt w:val="lowerLetter"/>
      <w:lvlText w:val="%2)"/>
      <w:lvlJc w:val="left"/>
      <w:pPr>
        <w:tabs>
          <w:tab w:val="num" w:pos="0"/>
        </w:tabs>
        <w:ind w:left="992" w:hanging="629"/>
      </w:pPr>
      <w:rPr>
        <w:rFonts w:ascii="宋体" w:eastAsia="宋体" w:hAnsi="宋体" w:hint="eastAsia"/>
      </w:rPr>
    </w:lvl>
    <w:lvl w:ilvl="2">
      <w:start w:val="1"/>
      <w:numFmt w:val="lowerRoman"/>
      <w:lvlText w:val="%3."/>
      <w:lvlJc w:val="right"/>
      <w:pPr>
        <w:tabs>
          <w:tab w:val="num" w:pos="0"/>
        </w:tabs>
        <w:ind w:left="992" w:hanging="629"/>
      </w:pPr>
      <w:rPr>
        <w:rFonts w:ascii="宋体" w:eastAsia="宋体" w:hAnsi="宋体" w:hint="eastAsia"/>
      </w:rPr>
    </w:lvl>
    <w:lvl w:ilvl="3">
      <w:start w:val="1"/>
      <w:numFmt w:val="decimal"/>
      <w:lvlText w:val="%4."/>
      <w:lvlJc w:val="left"/>
      <w:pPr>
        <w:tabs>
          <w:tab w:val="num" w:pos="0"/>
        </w:tabs>
        <w:ind w:left="992" w:hanging="629"/>
      </w:pPr>
      <w:rPr>
        <w:rFonts w:ascii="宋体" w:eastAsia="宋体" w:hAnsi="宋体" w:hint="eastAsia"/>
      </w:rPr>
    </w:lvl>
    <w:lvl w:ilvl="4">
      <w:start w:val="1"/>
      <w:numFmt w:val="lowerLetter"/>
      <w:lvlText w:val="%5)"/>
      <w:lvlJc w:val="left"/>
      <w:pPr>
        <w:tabs>
          <w:tab w:val="num" w:pos="0"/>
        </w:tabs>
        <w:ind w:left="992" w:hanging="629"/>
      </w:pPr>
      <w:rPr>
        <w:rFonts w:ascii="宋体" w:eastAsia="宋体" w:hAnsi="宋体" w:hint="eastAsia"/>
      </w:rPr>
    </w:lvl>
    <w:lvl w:ilvl="5">
      <w:start w:val="1"/>
      <w:numFmt w:val="lowerRoman"/>
      <w:lvlText w:val="%6."/>
      <w:lvlJc w:val="right"/>
      <w:pPr>
        <w:tabs>
          <w:tab w:val="num" w:pos="0"/>
        </w:tabs>
        <w:ind w:left="992" w:hanging="629"/>
      </w:pPr>
      <w:rPr>
        <w:rFonts w:ascii="宋体" w:eastAsia="宋体" w:hAnsi="宋体" w:hint="eastAsia"/>
      </w:rPr>
    </w:lvl>
    <w:lvl w:ilvl="6">
      <w:start w:val="1"/>
      <w:numFmt w:val="decimal"/>
      <w:lvlText w:val="%7."/>
      <w:lvlJc w:val="left"/>
      <w:pPr>
        <w:tabs>
          <w:tab w:val="num" w:pos="0"/>
        </w:tabs>
        <w:ind w:left="992" w:hanging="629"/>
      </w:pPr>
      <w:rPr>
        <w:rFonts w:ascii="宋体" w:eastAsia="宋体" w:hAnsi="宋体" w:hint="eastAsia"/>
      </w:rPr>
    </w:lvl>
    <w:lvl w:ilvl="7">
      <w:start w:val="1"/>
      <w:numFmt w:val="lowerLetter"/>
      <w:lvlText w:val="%8)"/>
      <w:lvlJc w:val="left"/>
      <w:pPr>
        <w:tabs>
          <w:tab w:val="num" w:pos="0"/>
        </w:tabs>
        <w:ind w:left="992" w:hanging="629"/>
      </w:pPr>
      <w:rPr>
        <w:rFonts w:ascii="宋体" w:eastAsia="宋体" w:hAnsi="宋体" w:hint="eastAsia"/>
      </w:rPr>
    </w:lvl>
    <w:lvl w:ilvl="8">
      <w:start w:val="1"/>
      <w:numFmt w:val="lowerRoman"/>
      <w:lvlText w:val="%9."/>
      <w:lvlJc w:val="right"/>
      <w:pPr>
        <w:tabs>
          <w:tab w:val="num" w:pos="0"/>
        </w:tabs>
        <w:ind w:left="992" w:hanging="629"/>
      </w:pPr>
      <w:rPr>
        <w:rFonts w:ascii="宋体" w:eastAsia="宋体" w:hAnsi="宋体" w:hint="eastAsia"/>
      </w:rPr>
    </w:lvl>
  </w:abstractNum>
  <w:abstractNum w:abstractNumId="2" w15:restartNumberingAfterBreak="0">
    <w:nsid w:val="2FC01286"/>
    <w:multiLevelType w:val="hybridMultilevel"/>
    <w:tmpl w:val="EB36FB60"/>
    <w:lvl w:ilvl="0" w:tplc="10422724">
      <w:start w:val="1"/>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 w15:restartNumberingAfterBreak="0">
    <w:nsid w:val="398B433B"/>
    <w:multiLevelType w:val="multilevel"/>
    <w:tmpl w:val="398B433B"/>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pStyle w:val="3"/>
      <w:suff w:val="space"/>
      <w:lvlText w:val="%1.%2.%3"/>
      <w:lvlJc w:val="left"/>
      <w:pPr>
        <w:ind w:left="0"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667197E"/>
    <w:multiLevelType w:val="hybridMultilevel"/>
    <w:tmpl w:val="B46625B4"/>
    <w:lvl w:ilvl="0" w:tplc="5E881C36">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 w:ilvl="3">
      <w:start w:val="1"/>
      <w:numFmt w:val="decimal"/>
      <w:pStyle w:val="a"/>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106047050">
    <w:abstractNumId w:val="3"/>
  </w:num>
  <w:num w:numId="2" w16cid:durableId="1142041310">
    <w:abstractNumId w:val="5"/>
  </w:num>
  <w:num w:numId="3" w16cid:durableId="1587228637">
    <w:abstractNumId w:val="0"/>
  </w:num>
  <w:num w:numId="4" w16cid:durableId="570311660">
    <w:abstractNumId w:val="2"/>
  </w:num>
  <w:num w:numId="5" w16cid:durableId="818348576">
    <w:abstractNumId w:val="4"/>
  </w:num>
  <w:num w:numId="6" w16cid:durableId="1674046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1E48"/>
    <w:rsid w:val="00010FF5"/>
    <w:rsid w:val="00021409"/>
    <w:rsid w:val="00025AC9"/>
    <w:rsid w:val="00040613"/>
    <w:rsid w:val="0004313E"/>
    <w:rsid w:val="00052C2A"/>
    <w:rsid w:val="00056CD4"/>
    <w:rsid w:val="00057DA8"/>
    <w:rsid w:val="000654DA"/>
    <w:rsid w:val="00075478"/>
    <w:rsid w:val="0007607E"/>
    <w:rsid w:val="000836B0"/>
    <w:rsid w:val="000A6BEC"/>
    <w:rsid w:val="000B29E8"/>
    <w:rsid w:val="000B7080"/>
    <w:rsid w:val="000C3C2A"/>
    <w:rsid w:val="000C78A3"/>
    <w:rsid w:val="000D391B"/>
    <w:rsid w:val="000F27AC"/>
    <w:rsid w:val="000F521E"/>
    <w:rsid w:val="000F5264"/>
    <w:rsid w:val="000F60A2"/>
    <w:rsid w:val="00102C28"/>
    <w:rsid w:val="0010459A"/>
    <w:rsid w:val="00105BDE"/>
    <w:rsid w:val="00113609"/>
    <w:rsid w:val="00114F24"/>
    <w:rsid w:val="001206DA"/>
    <w:rsid w:val="00132308"/>
    <w:rsid w:val="001366F4"/>
    <w:rsid w:val="00152982"/>
    <w:rsid w:val="001644DE"/>
    <w:rsid w:val="00166A29"/>
    <w:rsid w:val="00173884"/>
    <w:rsid w:val="0017523F"/>
    <w:rsid w:val="00192B1E"/>
    <w:rsid w:val="0019323F"/>
    <w:rsid w:val="001A06A8"/>
    <w:rsid w:val="001A4E9B"/>
    <w:rsid w:val="001B24FC"/>
    <w:rsid w:val="001B7629"/>
    <w:rsid w:val="001C2D10"/>
    <w:rsid w:val="001C34F5"/>
    <w:rsid w:val="001C3CBD"/>
    <w:rsid w:val="001E12D2"/>
    <w:rsid w:val="001E7778"/>
    <w:rsid w:val="0021752E"/>
    <w:rsid w:val="002314B6"/>
    <w:rsid w:val="00242124"/>
    <w:rsid w:val="0025448C"/>
    <w:rsid w:val="00255EE0"/>
    <w:rsid w:val="0026453B"/>
    <w:rsid w:val="00266398"/>
    <w:rsid w:val="0027315F"/>
    <w:rsid w:val="002752DC"/>
    <w:rsid w:val="002A17CD"/>
    <w:rsid w:val="002A4960"/>
    <w:rsid w:val="002A68C0"/>
    <w:rsid w:val="002B00FD"/>
    <w:rsid w:val="002B469A"/>
    <w:rsid w:val="002B7057"/>
    <w:rsid w:val="002C776B"/>
    <w:rsid w:val="002D4865"/>
    <w:rsid w:val="002D5D0E"/>
    <w:rsid w:val="002F1203"/>
    <w:rsid w:val="002F61EC"/>
    <w:rsid w:val="00301923"/>
    <w:rsid w:val="0031572F"/>
    <w:rsid w:val="00323FF3"/>
    <w:rsid w:val="003404B4"/>
    <w:rsid w:val="003408FF"/>
    <w:rsid w:val="00340CE9"/>
    <w:rsid w:val="00347FD3"/>
    <w:rsid w:val="00370D48"/>
    <w:rsid w:val="00374067"/>
    <w:rsid w:val="00387D85"/>
    <w:rsid w:val="00393D39"/>
    <w:rsid w:val="0039480C"/>
    <w:rsid w:val="00394B02"/>
    <w:rsid w:val="00395A53"/>
    <w:rsid w:val="00397082"/>
    <w:rsid w:val="003A4ACD"/>
    <w:rsid w:val="003C0FD1"/>
    <w:rsid w:val="003C55AF"/>
    <w:rsid w:val="003E0C74"/>
    <w:rsid w:val="003E46DA"/>
    <w:rsid w:val="003E4BA8"/>
    <w:rsid w:val="003F52D9"/>
    <w:rsid w:val="00411D6A"/>
    <w:rsid w:val="00432466"/>
    <w:rsid w:val="00456D8F"/>
    <w:rsid w:val="004654A1"/>
    <w:rsid w:val="0046791E"/>
    <w:rsid w:val="00474652"/>
    <w:rsid w:val="00475666"/>
    <w:rsid w:val="0048086D"/>
    <w:rsid w:val="00495ADA"/>
    <w:rsid w:val="004A3B35"/>
    <w:rsid w:val="004A5A6F"/>
    <w:rsid w:val="004B1498"/>
    <w:rsid w:val="004B19CA"/>
    <w:rsid w:val="004C73BA"/>
    <w:rsid w:val="004D3CBE"/>
    <w:rsid w:val="004E48F0"/>
    <w:rsid w:val="00507F63"/>
    <w:rsid w:val="00523197"/>
    <w:rsid w:val="00530FE2"/>
    <w:rsid w:val="00531134"/>
    <w:rsid w:val="00535440"/>
    <w:rsid w:val="00542531"/>
    <w:rsid w:val="00547458"/>
    <w:rsid w:val="0056148D"/>
    <w:rsid w:val="005643C7"/>
    <w:rsid w:val="0058126F"/>
    <w:rsid w:val="005840B9"/>
    <w:rsid w:val="00584787"/>
    <w:rsid w:val="00596C61"/>
    <w:rsid w:val="005A3FA2"/>
    <w:rsid w:val="005A509B"/>
    <w:rsid w:val="005A58E0"/>
    <w:rsid w:val="005B6BC0"/>
    <w:rsid w:val="005C10B1"/>
    <w:rsid w:val="005C70C0"/>
    <w:rsid w:val="005C7DCF"/>
    <w:rsid w:val="005E0449"/>
    <w:rsid w:val="005E679D"/>
    <w:rsid w:val="005E753F"/>
    <w:rsid w:val="005F19C4"/>
    <w:rsid w:val="0060099B"/>
    <w:rsid w:val="006037C3"/>
    <w:rsid w:val="00603D6C"/>
    <w:rsid w:val="006233FD"/>
    <w:rsid w:val="00632F8F"/>
    <w:rsid w:val="00636D53"/>
    <w:rsid w:val="00646161"/>
    <w:rsid w:val="00651C9B"/>
    <w:rsid w:val="006650AC"/>
    <w:rsid w:val="006651EC"/>
    <w:rsid w:val="00672A4E"/>
    <w:rsid w:val="00673B35"/>
    <w:rsid w:val="00674C9C"/>
    <w:rsid w:val="00685843"/>
    <w:rsid w:val="0069178C"/>
    <w:rsid w:val="006D6EA9"/>
    <w:rsid w:val="006E3D00"/>
    <w:rsid w:val="006E677B"/>
    <w:rsid w:val="006E7080"/>
    <w:rsid w:val="006F053D"/>
    <w:rsid w:val="00717CF3"/>
    <w:rsid w:val="00723385"/>
    <w:rsid w:val="0072570C"/>
    <w:rsid w:val="00731FDA"/>
    <w:rsid w:val="0073224B"/>
    <w:rsid w:val="00733CB9"/>
    <w:rsid w:val="00736B34"/>
    <w:rsid w:val="00741606"/>
    <w:rsid w:val="00743063"/>
    <w:rsid w:val="00751E48"/>
    <w:rsid w:val="00755E0E"/>
    <w:rsid w:val="0075799F"/>
    <w:rsid w:val="007610AC"/>
    <w:rsid w:val="007613ED"/>
    <w:rsid w:val="00761E23"/>
    <w:rsid w:val="00766971"/>
    <w:rsid w:val="00766D94"/>
    <w:rsid w:val="00772698"/>
    <w:rsid w:val="0077764C"/>
    <w:rsid w:val="007816A5"/>
    <w:rsid w:val="0078511C"/>
    <w:rsid w:val="00790E7B"/>
    <w:rsid w:val="00796584"/>
    <w:rsid w:val="00796C6E"/>
    <w:rsid w:val="007B0A74"/>
    <w:rsid w:val="007B114A"/>
    <w:rsid w:val="007C2B59"/>
    <w:rsid w:val="007D3945"/>
    <w:rsid w:val="007D7A86"/>
    <w:rsid w:val="007E406A"/>
    <w:rsid w:val="00803292"/>
    <w:rsid w:val="00803A2A"/>
    <w:rsid w:val="00825CCC"/>
    <w:rsid w:val="00831BF0"/>
    <w:rsid w:val="00834EED"/>
    <w:rsid w:val="008377BC"/>
    <w:rsid w:val="008504A8"/>
    <w:rsid w:val="008619F3"/>
    <w:rsid w:val="00862A51"/>
    <w:rsid w:val="00867832"/>
    <w:rsid w:val="00874699"/>
    <w:rsid w:val="00875EF3"/>
    <w:rsid w:val="008820FD"/>
    <w:rsid w:val="008854AD"/>
    <w:rsid w:val="008869F2"/>
    <w:rsid w:val="008936D4"/>
    <w:rsid w:val="00895A11"/>
    <w:rsid w:val="008C67C8"/>
    <w:rsid w:val="008D0F39"/>
    <w:rsid w:val="008D1F39"/>
    <w:rsid w:val="008D33C3"/>
    <w:rsid w:val="008E1AC7"/>
    <w:rsid w:val="008F4DA4"/>
    <w:rsid w:val="00902FAC"/>
    <w:rsid w:val="0091062B"/>
    <w:rsid w:val="00913A79"/>
    <w:rsid w:val="00914FB1"/>
    <w:rsid w:val="00916986"/>
    <w:rsid w:val="009424A2"/>
    <w:rsid w:val="00950CB0"/>
    <w:rsid w:val="009566E7"/>
    <w:rsid w:val="0095730F"/>
    <w:rsid w:val="009647AD"/>
    <w:rsid w:val="00965F36"/>
    <w:rsid w:val="00970445"/>
    <w:rsid w:val="00971276"/>
    <w:rsid w:val="009721E4"/>
    <w:rsid w:val="00973764"/>
    <w:rsid w:val="00986F3F"/>
    <w:rsid w:val="0098783C"/>
    <w:rsid w:val="00992FEB"/>
    <w:rsid w:val="00995790"/>
    <w:rsid w:val="009A0B2B"/>
    <w:rsid w:val="009A3B1C"/>
    <w:rsid w:val="009A6429"/>
    <w:rsid w:val="009B3157"/>
    <w:rsid w:val="009B5AA0"/>
    <w:rsid w:val="009B75BE"/>
    <w:rsid w:val="009C5BCA"/>
    <w:rsid w:val="009D3611"/>
    <w:rsid w:val="009D771B"/>
    <w:rsid w:val="009E3AE2"/>
    <w:rsid w:val="009F536D"/>
    <w:rsid w:val="00A04321"/>
    <w:rsid w:val="00A043AA"/>
    <w:rsid w:val="00A07D87"/>
    <w:rsid w:val="00A152F7"/>
    <w:rsid w:val="00A315BD"/>
    <w:rsid w:val="00A31EC2"/>
    <w:rsid w:val="00A47796"/>
    <w:rsid w:val="00A50ACD"/>
    <w:rsid w:val="00A534C6"/>
    <w:rsid w:val="00A70416"/>
    <w:rsid w:val="00A70F6D"/>
    <w:rsid w:val="00A73536"/>
    <w:rsid w:val="00A80860"/>
    <w:rsid w:val="00A90143"/>
    <w:rsid w:val="00A92511"/>
    <w:rsid w:val="00AA213A"/>
    <w:rsid w:val="00AB1BED"/>
    <w:rsid w:val="00AB3057"/>
    <w:rsid w:val="00AC5AC4"/>
    <w:rsid w:val="00AD3D99"/>
    <w:rsid w:val="00AD7981"/>
    <w:rsid w:val="00AE1597"/>
    <w:rsid w:val="00AE45E7"/>
    <w:rsid w:val="00AE6DFD"/>
    <w:rsid w:val="00AF41CE"/>
    <w:rsid w:val="00B0145D"/>
    <w:rsid w:val="00B156E6"/>
    <w:rsid w:val="00B446AF"/>
    <w:rsid w:val="00B4597B"/>
    <w:rsid w:val="00B4658B"/>
    <w:rsid w:val="00B570CD"/>
    <w:rsid w:val="00B80C6C"/>
    <w:rsid w:val="00BA2CCB"/>
    <w:rsid w:val="00BA5B25"/>
    <w:rsid w:val="00BA6D4B"/>
    <w:rsid w:val="00BC4591"/>
    <w:rsid w:val="00BC5F33"/>
    <w:rsid w:val="00BC66D6"/>
    <w:rsid w:val="00BC6DD7"/>
    <w:rsid w:val="00BD58EB"/>
    <w:rsid w:val="00BE6207"/>
    <w:rsid w:val="00BF029E"/>
    <w:rsid w:val="00C05806"/>
    <w:rsid w:val="00C12A48"/>
    <w:rsid w:val="00C23868"/>
    <w:rsid w:val="00C25312"/>
    <w:rsid w:val="00C27795"/>
    <w:rsid w:val="00C431E3"/>
    <w:rsid w:val="00C55D78"/>
    <w:rsid w:val="00C569B1"/>
    <w:rsid w:val="00C647CE"/>
    <w:rsid w:val="00C67568"/>
    <w:rsid w:val="00C67879"/>
    <w:rsid w:val="00C74973"/>
    <w:rsid w:val="00C76BEB"/>
    <w:rsid w:val="00C91D0F"/>
    <w:rsid w:val="00C935D3"/>
    <w:rsid w:val="00CB0AE7"/>
    <w:rsid w:val="00CB3EA7"/>
    <w:rsid w:val="00CB579A"/>
    <w:rsid w:val="00CC2650"/>
    <w:rsid w:val="00CD2BBD"/>
    <w:rsid w:val="00CD79C4"/>
    <w:rsid w:val="00CE1E34"/>
    <w:rsid w:val="00CE7DF7"/>
    <w:rsid w:val="00CF0191"/>
    <w:rsid w:val="00CF11F5"/>
    <w:rsid w:val="00CF53FE"/>
    <w:rsid w:val="00D002A9"/>
    <w:rsid w:val="00D06210"/>
    <w:rsid w:val="00D20CCC"/>
    <w:rsid w:val="00D37366"/>
    <w:rsid w:val="00D448F7"/>
    <w:rsid w:val="00D47D19"/>
    <w:rsid w:val="00D50416"/>
    <w:rsid w:val="00D56E1B"/>
    <w:rsid w:val="00D61F95"/>
    <w:rsid w:val="00D7498E"/>
    <w:rsid w:val="00D75C86"/>
    <w:rsid w:val="00D77A8C"/>
    <w:rsid w:val="00D8315A"/>
    <w:rsid w:val="00D8569C"/>
    <w:rsid w:val="00D87FD5"/>
    <w:rsid w:val="00D9291E"/>
    <w:rsid w:val="00DA0BFB"/>
    <w:rsid w:val="00DA3AAD"/>
    <w:rsid w:val="00DA474F"/>
    <w:rsid w:val="00DD0D21"/>
    <w:rsid w:val="00DD4DF8"/>
    <w:rsid w:val="00DD4FC4"/>
    <w:rsid w:val="00DD5EAE"/>
    <w:rsid w:val="00DE1BB0"/>
    <w:rsid w:val="00DF5ACD"/>
    <w:rsid w:val="00DF6995"/>
    <w:rsid w:val="00DF7DA8"/>
    <w:rsid w:val="00E14352"/>
    <w:rsid w:val="00E2361C"/>
    <w:rsid w:val="00E254BC"/>
    <w:rsid w:val="00E26848"/>
    <w:rsid w:val="00E36FD6"/>
    <w:rsid w:val="00E37AF1"/>
    <w:rsid w:val="00E43A24"/>
    <w:rsid w:val="00E63409"/>
    <w:rsid w:val="00E65617"/>
    <w:rsid w:val="00E65B39"/>
    <w:rsid w:val="00E8215D"/>
    <w:rsid w:val="00E833EE"/>
    <w:rsid w:val="00E90A91"/>
    <w:rsid w:val="00E95346"/>
    <w:rsid w:val="00EB18AB"/>
    <w:rsid w:val="00ED594D"/>
    <w:rsid w:val="00EE0B2E"/>
    <w:rsid w:val="00EE65BC"/>
    <w:rsid w:val="00EE697D"/>
    <w:rsid w:val="00EF3C9B"/>
    <w:rsid w:val="00EF4AEB"/>
    <w:rsid w:val="00EF7DCA"/>
    <w:rsid w:val="00F0506C"/>
    <w:rsid w:val="00F07B4C"/>
    <w:rsid w:val="00F14002"/>
    <w:rsid w:val="00F217FD"/>
    <w:rsid w:val="00F4662B"/>
    <w:rsid w:val="00F52620"/>
    <w:rsid w:val="00F54F79"/>
    <w:rsid w:val="00F90776"/>
    <w:rsid w:val="00F96CD2"/>
    <w:rsid w:val="00F979DB"/>
    <w:rsid w:val="00FA5586"/>
    <w:rsid w:val="00FA725E"/>
    <w:rsid w:val="00FB1C13"/>
    <w:rsid w:val="00FB4772"/>
    <w:rsid w:val="00FC078A"/>
    <w:rsid w:val="00FC51A4"/>
    <w:rsid w:val="00FC65FA"/>
    <w:rsid w:val="00FC7B49"/>
    <w:rsid w:val="00FE7AED"/>
    <w:rsid w:val="00FF0F6E"/>
    <w:rsid w:val="02DC5308"/>
    <w:rsid w:val="119105B0"/>
    <w:rsid w:val="12BD65C4"/>
    <w:rsid w:val="1C8361D3"/>
    <w:rsid w:val="2A077209"/>
    <w:rsid w:val="2CA174A1"/>
    <w:rsid w:val="2E1B14D5"/>
    <w:rsid w:val="435E1984"/>
    <w:rsid w:val="662A0EA4"/>
    <w:rsid w:val="6BD3314B"/>
    <w:rsid w:val="71996C66"/>
    <w:rsid w:val="7B455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0095C"/>
  <w15:docId w15:val="{5AB0386A-10C5-46F9-A5E1-3128B29A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qFormat="1"/>
    <w:lsdException w:name="header" w:qFormat="1"/>
    <w:lsdException w:name="footer" w:qFormat="1"/>
    <w:lsdException w:name="caption" w:uiPriority="35"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Block Text"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74699"/>
    <w:pPr>
      <w:widowControl w:val="0"/>
      <w:spacing w:line="360" w:lineRule="auto"/>
      <w:ind w:firstLineChars="200" w:firstLine="200"/>
      <w:jc w:val="both"/>
    </w:pPr>
    <w:rPr>
      <w:rFonts w:ascii="Times New Roman" w:eastAsia="宋体" w:hAnsi="Times New Roman" w:cs="Times New Roman"/>
      <w:kern w:val="2"/>
      <w:sz w:val="24"/>
      <w:szCs w:val="24"/>
    </w:rPr>
  </w:style>
  <w:style w:type="paragraph" w:styleId="1">
    <w:name w:val="heading 1"/>
    <w:basedOn w:val="a0"/>
    <w:next w:val="a0"/>
    <w:link w:val="10"/>
    <w:qFormat/>
    <w:pPr>
      <w:keepNext/>
      <w:keepLines/>
      <w:spacing w:before="260" w:after="260"/>
      <w:ind w:firstLineChars="0" w:firstLine="0"/>
      <w:jc w:val="left"/>
      <w:outlineLvl w:val="0"/>
    </w:pPr>
    <w:rPr>
      <w:rFonts w:eastAsia="黑体"/>
      <w:b/>
      <w:bCs/>
      <w:kern w:val="44"/>
      <w:sz w:val="30"/>
      <w:szCs w:val="44"/>
    </w:rPr>
  </w:style>
  <w:style w:type="paragraph" w:styleId="2">
    <w:name w:val="heading 2"/>
    <w:basedOn w:val="a0"/>
    <w:next w:val="a0"/>
    <w:link w:val="20"/>
    <w:qFormat/>
    <w:pPr>
      <w:keepNext/>
      <w:keepLines/>
      <w:spacing w:before="260" w:after="120"/>
      <w:ind w:firstLineChars="0" w:firstLine="0"/>
      <w:outlineLvl w:val="1"/>
    </w:pPr>
    <w:rPr>
      <w:b/>
      <w:bCs/>
      <w:szCs w:val="32"/>
    </w:rPr>
  </w:style>
  <w:style w:type="paragraph" w:styleId="3">
    <w:name w:val="heading 3"/>
    <w:basedOn w:val="a0"/>
    <w:next w:val="a0"/>
    <w:qFormat/>
    <w:pPr>
      <w:keepNext/>
      <w:keepLines/>
      <w:numPr>
        <w:ilvl w:val="2"/>
        <w:numId w:val="1"/>
      </w:numPr>
      <w:spacing w:before="240" w:after="240" w:line="400" w:lineRule="exact"/>
      <w:jc w:val="left"/>
      <w:outlineLvl w:val="2"/>
    </w:pPr>
    <w:rPr>
      <w:b/>
      <w:color w:val="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caption"/>
    <w:basedOn w:val="a0"/>
    <w:next w:val="a0"/>
    <w:uiPriority w:val="35"/>
    <w:unhideWhenUsed/>
    <w:qFormat/>
    <w:rPr>
      <w:rFonts w:asciiTheme="majorHAnsi" w:eastAsia="黑体" w:hAnsiTheme="majorHAnsi" w:cstheme="majorBidi"/>
      <w:sz w:val="20"/>
      <w:szCs w:val="20"/>
    </w:rPr>
  </w:style>
  <w:style w:type="paragraph" w:styleId="a5">
    <w:name w:val="Body Text"/>
    <w:basedOn w:val="a0"/>
    <w:qFormat/>
    <w:pPr>
      <w:spacing w:after="120"/>
    </w:pPr>
  </w:style>
  <w:style w:type="paragraph" w:styleId="a6">
    <w:name w:val="Block Text"/>
    <w:basedOn w:val="a0"/>
    <w:qFormat/>
    <w:pPr>
      <w:spacing w:line="440" w:lineRule="exact"/>
      <w:ind w:left="284" w:right="284"/>
    </w:pPr>
    <w:rPr>
      <w:rFonts w:ascii="宋体"/>
    </w:rPr>
  </w:style>
  <w:style w:type="paragraph" w:styleId="TOC3">
    <w:name w:val="toc 3"/>
    <w:basedOn w:val="a0"/>
    <w:next w:val="a0"/>
    <w:qFormat/>
    <w:pPr>
      <w:ind w:leftChars="400" w:left="840"/>
    </w:pPr>
  </w:style>
  <w:style w:type="paragraph" w:styleId="a7">
    <w:name w:val="footer"/>
    <w:basedOn w:val="a0"/>
    <w:qFormat/>
    <w:pPr>
      <w:tabs>
        <w:tab w:val="center" w:pos="4153"/>
        <w:tab w:val="right" w:pos="8306"/>
      </w:tabs>
      <w:snapToGrid w:val="0"/>
      <w:jc w:val="left"/>
    </w:pPr>
    <w:rPr>
      <w:sz w:val="18"/>
    </w:rPr>
  </w:style>
  <w:style w:type="paragraph" w:styleId="a8">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TOC1">
    <w:name w:val="toc 1"/>
    <w:basedOn w:val="a0"/>
    <w:next w:val="a0"/>
    <w:uiPriority w:val="39"/>
    <w:qFormat/>
  </w:style>
  <w:style w:type="paragraph" w:styleId="TOC2">
    <w:name w:val="toc 2"/>
    <w:basedOn w:val="a0"/>
    <w:next w:val="a0"/>
    <w:uiPriority w:val="39"/>
    <w:qFormat/>
    <w:pPr>
      <w:ind w:leftChars="200" w:left="420"/>
    </w:pPr>
  </w:style>
  <w:style w:type="paragraph" w:styleId="a9">
    <w:name w:val="Normal (Web)"/>
    <w:basedOn w:val="a0"/>
    <w:qFormat/>
    <w:pPr>
      <w:widowControl/>
      <w:spacing w:before="100" w:beforeAutospacing="1" w:after="100" w:afterAutospacing="1"/>
      <w:jc w:val="left"/>
    </w:pPr>
    <w:rPr>
      <w:rFonts w:ascii="宋体" w:hAnsi="宋体" w:cs="宋体"/>
      <w:color w:val="000000"/>
      <w:kern w:val="0"/>
      <w:sz w:val="18"/>
      <w:szCs w:val="18"/>
    </w:rPr>
  </w:style>
  <w:style w:type="paragraph" w:styleId="aa">
    <w:name w:val="Body Text First Indent"/>
    <w:basedOn w:val="a5"/>
    <w:qFormat/>
    <w:pPr>
      <w:ind w:firstLine="420"/>
    </w:pPr>
    <w:rPr>
      <w:rFonts w:eastAsia="方正仿宋简体"/>
      <w:szCs w:val="20"/>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Pr>
      <w:b/>
      <w:bCs/>
    </w:rPr>
  </w:style>
  <w:style w:type="character" w:styleId="ad">
    <w:name w:val="Hyperlink"/>
    <w:uiPriority w:val="99"/>
    <w:qFormat/>
    <w:rPr>
      <w:color w:val="0000FF"/>
      <w:u w:val="single"/>
    </w:rPr>
  </w:style>
  <w:style w:type="character" w:customStyle="1" w:styleId="20">
    <w:name w:val="标题 2 字符"/>
    <w:link w:val="2"/>
    <w:qFormat/>
    <w:rPr>
      <w:rFonts w:eastAsia="宋体"/>
      <w:b/>
      <w:bCs/>
      <w:kern w:val="2"/>
      <w:sz w:val="24"/>
      <w:szCs w:val="32"/>
    </w:rPr>
  </w:style>
  <w:style w:type="paragraph" w:customStyle="1" w:styleId="ae">
    <w:name w:val="段"/>
    <w:link w:val="Char"/>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character" w:customStyle="1" w:styleId="Char">
    <w:name w:val="段 Char"/>
    <w:link w:val="ae"/>
    <w:qFormat/>
    <w:rPr>
      <w:rFonts w:ascii="宋体" w:eastAsia="宋体"/>
      <w:sz w:val="21"/>
      <w:lang w:val="en-US" w:eastAsia="zh-CN" w:bidi="ar-SA"/>
    </w:rPr>
  </w:style>
  <w:style w:type="paragraph" w:customStyle="1" w:styleId="af">
    <w:name w:val="标准文件_段"/>
    <w:qFormat/>
    <w:pPr>
      <w:autoSpaceDE w:val="0"/>
      <w:autoSpaceDN w:val="0"/>
      <w:ind w:firstLineChars="200" w:firstLine="200"/>
      <w:jc w:val="both"/>
    </w:pPr>
    <w:rPr>
      <w:rFonts w:ascii="宋体" w:eastAsia="宋体" w:hAnsi="Times New Roman" w:cs="Times New Roman"/>
      <w:sz w:val="21"/>
    </w:rPr>
  </w:style>
  <w:style w:type="paragraph" w:customStyle="1" w:styleId="a">
    <w:name w:val="标准文件_二级条标题"/>
    <w:next w:val="af"/>
    <w:qFormat/>
    <w:pPr>
      <w:widowControl w:val="0"/>
      <w:numPr>
        <w:ilvl w:val="3"/>
        <w:numId w:val="2"/>
      </w:numPr>
      <w:spacing w:beforeLines="50" w:before="50" w:afterLines="50" w:after="50"/>
      <w:jc w:val="both"/>
      <w:outlineLvl w:val="2"/>
    </w:pPr>
    <w:rPr>
      <w:rFonts w:ascii="黑体" w:eastAsia="黑体" w:hAnsi="Times New Roman" w:cs="Times New Roman"/>
      <w:sz w:val="21"/>
    </w:rPr>
  </w:style>
  <w:style w:type="paragraph" w:customStyle="1" w:styleId="af0">
    <w:name w:val="图表"/>
    <w:basedOn w:val="a4"/>
    <w:qFormat/>
    <w:pPr>
      <w:jc w:val="center"/>
    </w:pPr>
    <w:rPr>
      <w:rFonts w:ascii="Times New Roman" w:eastAsia="宋体" w:hAnsi="Times New Roman" w:cs="Times New Roman"/>
      <w:b/>
      <w:bCs/>
      <w:sz w:val="24"/>
      <w:szCs w:val="24"/>
    </w:rPr>
  </w:style>
  <w:style w:type="table" w:customStyle="1" w:styleId="21">
    <w:name w:val="无格式表格 21"/>
    <w:basedOn w:val="a2"/>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1">
    <w:name w:val="一级标题"/>
    <w:next w:val="a0"/>
    <w:link w:val="af2"/>
    <w:qFormat/>
    <w:pPr>
      <w:spacing w:before="260" w:after="260" w:line="360" w:lineRule="auto"/>
    </w:pPr>
    <w:rPr>
      <w:rFonts w:ascii="Times New Roman" w:eastAsia="黑体" w:hAnsi="Times New Roman" w:cs="Times New Roman"/>
      <w:b/>
      <w:bCs/>
      <w:kern w:val="44"/>
      <w:sz w:val="32"/>
      <w:szCs w:val="44"/>
    </w:rPr>
  </w:style>
  <w:style w:type="character" w:customStyle="1" w:styleId="10">
    <w:name w:val="标题 1 字符"/>
    <w:basedOn w:val="a1"/>
    <w:link w:val="1"/>
    <w:qFormat/>
    <w:rPr>
      <w:rFonts w:eastAsia="黑体"/>
      <w:b/>
      <w:bCs/>
      <w:kern w:val="44"/>
      <w:sz w:val="30"/>
      <w:szCs w:val="44"/>
    </w:rPr>
  </w:style>
  <w:style w:type="character" w:customStyle="1" w:styleId="af2">
    <w:name w:val="一级标题 字符"/>
    <w:basedOn w:val="10"/>
    <w:link w:val="af1"/>
    <w:qFormat/>
    <w:rPr>
      <w:rFonts w:eastAsia="黑体"/>
      <w:b/>
      <w:bCs/>
      <w:kern w:val="44"/>
      <w:sz w:val="32"/>
      <w:szCs w:val="44"/>
    </w:rPr>
  </w:style>
  <w:style w:type="paragraph" w:customStyle="1" w:styleId="-">
    <w:name w:val="团-正文"/>
    <w:basedOn w:val="a0"/>
    <w:link w:val="-0"/>
    <w:qFormat/>
    <w:pPr>
      <w:widowControl/>
      <w:autoSpaceDE w:val="0"/>
      <w:autoSpaceDN w:val="0"/>
      <w:spacing w:line="312" w:lineRule="auto"/>
    </w:pPr>
    <w:rPr>
      <w:kern w:val="0"/>
      <w:sz w:val="21"/>
      <w:szCs w:val="20"/>
    </w:rPr>
  </w:style>
  <w:style w:type="character" w:customStyle="1" w:styleId="-0">
    <w:name w:val="团-正文 字符"/>
    <w:basedOn w:val="a1"/>
    <w:link w:val="-"/>
    <w:qFormat/>
    <w:rPr>
      <w:rFonts w:ascii="Times New Roman" w:eastAsia="宋体" w:hAnsi="Times New Roman" w:cs="Times New Roman" w:hint="default"/>
      <w:kern w:val="0"/>
      <w:szCs w:val="20"/>
    </w:rPr>
  </w:style>
  <w:style w:type="paragraph" w:customStyle="1" w:styleId="-11">
    <w:name w:val="团-1.1"/>
    <w:link w:val="-110"/>
    <w:qFormat/>
    <w:pPr>
      <w:numPr>
        <w:ilvl w:val="1"/>
        <w:numId w:val="3"/>
      </w:numPr>
      <w:autoSpaceDE w:val="0"/>
      <w:autoSpaceDN w:val="0"/>
      <w:spacing w:beforeLines="50" w:before="50" w:afterLines="50" w:after="50" w:line="312" w:lineRule="auto"/>
      <w:ind w:firstLine="0"/>
      <w:jc w:val="both"/>
    </w:pPr>
    <w:rPr>
      <w:rFonts w:ascii="Times New Roman" w:eastAsia="黑体" w:hAnsi="Times New Roman" w:cs="Times New Roman"/>
      <w:sz w:val="21"/>
    </w:rPr>
  </w:style>
  <w:style w:type="character" w:customStyle="1" w:styleId="-110">
    <w:name w:val="团-1.1 字符"/>
    <w:link w:val="-11"/>
    <w:qFormat/>
    <w:rPr>
      <w:rFonts w:ascii="Times New Roman" w:eastAsia="黑体" w:hAnsi="Times New Roman" w:cs="Times New Roman" w:hint="default"/>
      <w:kern w:val="0"/>
      <w:szCs w:val="20"/>
    </w:rPr>
  </w:style>
  <w:style w:type="paragraph" w:customStyle="1" w:styleId="111">
    <w:name w:val="团1.1.1"/>
    <w:basedOn w:val="-11"/>
    <w:link w:val="1110"/>
    <w:qFormat/>
    <w:pPr>
      <w:numPr>
        <w:ilvl w:val="2"/>
      </w:numPr>
    </w:pPr>
  </w:style>
  <w:style w:type="character" w:customStyle="1" w:styleId="1110">
    <w:name w:val="团1.1.1 字符"/>
    <w:basedOn w:val="-110"/>
    <w:link w:val="111"/>
    <w:qFormat/>
    <w:rPr>
      <w:rFonts w:ascii="Times New Roman" w:eastAsia="黑体" w:hAnsi="Times New Roman" w:cs="Times New Roman" w:hint="default"/>
      <w:kern w:val="0"/>
      <w:szCs w:val="20"/>
    </w:rPr>
  </w:style>
  <w:style w:type="character" w:customStyle="1" w:styleId="Char0">
    <w:name w:val="标准文件_段 Char"/>
    <w:basedOn w:val="a1"/>
    <w:qFormat/>
    <w:rPr>
      <w:rFonts w:ascii="宋体" w:eastAsia="宋体" w:hAnsi="Times New Roman" w:cs="宋体" w:hint="eastAsia"/>
    </w:rPr>
  </w:style>
  <w:style w:type="paragraph" w:customStyle="1" w:styleId="TableParagraph">
    <w:name w:val="Table Paragraph"/>
    <w:basedOn w:val="a0"/>
    <w:qFormat/>
    <w:pPr>
      <w:autoSpaceDE w:val="0"/>
      <w:autoSpaceDN w:val="0"/>
      <w:adjustRightInd w:val="0"/>
      <w:spacing w:line="240" w:lineRule="auto"/>
      <w:jc w:val="center"/>
    </w:pPr>
    <w:rPr>
      <w:rFonts w:ascii="黑体" w:hAnsi="宋体" w:hint="eastAsia"/>
      <w:kern w:val="0"/>
    </w:rPr>
  </w:style>
  <w:style w:type="paragraph" w:styleId="af3">
    <w:name w:val="List Paragraph"/>
    <w:basedOn w:val="a0"/>
    <w:uiPriority w:val="99"/>
    <w:unhideWhenUsed/>
    <w:rsid w:val="00831BF0"/>
    <w:pPr>
      <w:ind w:firstLine="420"/>
    </w:pPr>
  </w:style>
  <w:style w:type="paragraph" w:styleId="af4">
    <w:name w:val="Revision"/>
    <w:hidden/>
    <w:uiPriority w:val="99"/>
    <w:unhideWhenUsed/>
    <w:rsid w:val="00B570CD"/>
    <w:rPr>
      <w:rFonts w:ascii="Times New Roman" w:eastAsia="宋体" w:hAnsi="Times New Roman" w:cs="Times New Roman"/>
      <w:kern w:val="2"/>
      <w:sz w:val="24"/>
      <w:szCs w:val="24"/>
    </w:rPr>
  </w:style>
  <w:style w:type="paragraph" w:styleId="af5">
    <w:name w:val="Date"/>
    <w:basedOn w:val="a0"/>
    <w:next w:val="a0"/>
    <w:link w:val="af6"/>
    <w:rsid w:val="00B80C6C"/>
    <w:pPr>
      <w:ind w:leftChars="2500" w:left="100"/>
    </w:pPr>
  </w:style>
  <w:style w:type="character" w:customStyle="1" w:styleId="af6">
    <w:name w:val="日期 字符"/>
    <w:basedOn w:val="a1"/>
    <w:link w:val="af5"/>
    <w:rsid w:val="00B80C6C"/>
    <w:rPr>
      <w:rFonts w:ascii="Times New Roman" w:eastAsia="宋体" w:hAnsi="Times New Roman" w:cs="Times New Roman"/>
      <w:kern w:val="2"/>
      <w:sz w:val="24"/>
      <w:szCs w:val="24"/>
    </w:rPr>
  </w:style>
  <w:style w:type="table" w:customStyle="1" w:styleId="11">
    <w:name w:val="网格型1"/>
    <w:basedOn w:val="a2"/>
    <w:next w:val="ab"/>
    <w:uiPriority w:val="99"/>
    <w:rsid w:val="00F96CD2"/>
    <w:rPr>
      <w:rFonts w:cs="Times New Roman"/>
      <w:kern w:val="2"/>
      <w:sz w:val="21"/>
      <w:szCs w:val="2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1342</TotalTime>
  <Pages>15</Pages>
  <Words>1619</Words>
  <Characters>9230</Characters>
  <Application>Microsoft Office Word</Application>
  <DocSecurity>0</DocSecurity>
  <Lines>76</Lines>
  <Paragraphs>21</Paragraphs>
  <ScaleCrop>false</ScaleCrop>
  <Company>sw</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海水中铁的测定                      邻菲啰啉分光光度法</dc:title>
  <dc:creator>推荐书</dc:creator>
  <cp:lastModifiedBy>帆 杨</cp:lastModifiedBy>
  <cp:revision>139</cp:revision>
  <cp:lastPrinted>2026-07-14T01:31:00Z</cp:lastPrinted>
  <dcterms:created xsi:type="dcterms:W3CDTF">2015-01-30T08:21:00Z</dcterms:created>
  <dcterms:modified xsi:type="dcterms:W3CDTF">2026-09-11T02:55:00Z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eyJoZGlkIjoiYjc1NzU0ZGRjMWJjYTljZDhkZjk0NTVkMTBlM2Q1ZDMiLCJ1c2VySWQiOiIzMTMyNzg3ODQifQ==</vt:lpwstr>
  </property>
  <property fmtid="{D5CDD505-2E9C-101B-9397-08002B2CF9AE}" pid="3" name="KSOProductBuildVer">
    <vt:lpwstr>2052-12.1.0.26375</vt:lpwstr>
  </property>
  <property fmtid="{D5CDD505-2E9C-101B-9397-08002B2CF9AE}" pid="4" name="ICV">
    <vt:lpwstr>E8254F9785BE49A792616CFCCE10F52F_13</vt:lpwstr>
  </property>
</Properties>
</file>