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8CEF6">
      <w:pPr>
        <w:ind w:firstLine="0" w:firstLineChars="0"/>
        <w:rPr>
          <w:rFonts w:hint="eastAsia"/>
        </w:rPr>
      </w:pPr>
      <w:r>
        <w:t>中国海洋学会</w:t>
      </w:r>
    </w:p>
    <w:p w14:paraId="2CFD84B3">
      <w:pPr>
        <w:ind w:firstLine="560"/>
        <w:rPr>
          <w:rFonts w:hint="eastAsia"/>
        </w:rPr>
      </w:pPr>
    </w:p>
    <w:p w14:paraId="63B64D33">
      <w:pPr>
        <w:pStyle w:val="22"/>
        <w:framePr w:w="0" w:hRule="auto" w:hSpace="0" w:vSpace="0" w:wrap="auto" w:vAnchor="margin" w:hAnchor="text" w:xAlign="left" w:yAlign="inline"/>
        <w:rPr>
          <w:rFonts w:hint="eastAsia" w:ascii="黑体" w:hAnsi="黑体" w:eastAsia="黑体"/>
          <w:b w:val="0"/>
          <w:bCs w:val="0"/>
          <w:w w:val="100"/>
          <w:sz w:val="48"/>
          <w:szCs w:val="48"/>
        </w:rPr>
      </w:pPr>
      <w:bookmarkStart w:id="0"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0"/>
    <w:p w14:paraId="632E69A6">
      <w:pPr>
        <w:ind w:firstLine="560"/>
        <w:rPr>
          <w:rFonts w:hint="eastAsia"/>
        </w:rPr>
      </w:pPr>
    </w:p>
    <w:p w14:paraId="113CA4FD">
      <w:pPr>
        <w:ind w:firstLine="560"/>
        <w:rPr>
          <w:rFonts w:hint="eastAsia"/>
        </w:rPr>
      </w:pPr>
    </w:p>
    <w:p w14:paraId="111D542C">
      <w:pPr>
        <w:ind w:firstLine="560"/>
        <w:rPr>
          <w:rFonts w:hint="eastAsia"/>
        </w:rPr>
      </w:pPr>
    </w:p>
    <w:p w14:paraId="586A7820">
      <w:pPr>
        <w:spacing w:before="156" w:beforeLines="50" w:after="156" w:afterLines="50" w:line="480" w:lineRule="auto"/>
        <w:ind w:firstLine="0" w:firstLineChars="0"/>
        <w:jc w:val="center"/>
        <w:rPr>
          <w:b/>
          <w:bCs/>
          <w:sz w:val="44"/>
          <w:szCs w:val="40"/>
        </w:rPr>
      </w:pPr>
      <w:r>
        <w:rPr>
          <w:b/>
          <w:bCs/>
          <w:sz w:val="44"/>
          <w:szCs w:val="40"/>
        </w:rPr>
        <w:t>《</w:t>
      </w:r>
      <w:r>
        <w:rPr>
          <w:rFonts w:hint="eastAsia"/>
          <w:b/>
          <w:bCs/>
          <w:sz w:val="44"/>
          <w:szCs w:val="40"/>
        </w:rPr>
        <w:t>渔港经济区发展质量评价指南</w:t>
      </w:r>
      <w:r>
        <w:rPr>
          <w:b/>
          <w:bCs/>
          <w:sz w:val="44"/>
          <w:szCs w:val="40"/>
        </w:rPr>
        <w:t>》</w:t>
      </w:r>
    </w:p>
    <w:p w14:paraId="4CDC4386">
      <w:pPr>
        <w:spacing w:before="156" w:beforeLines="50" w:after="156" w:afterLines="50" w:line="480" w:lineRule="auto"/>
        <w:ind w:firstLine="0" w:firstLineChars="0"/>
        <w:jc w:val="center"/>
        <w:rPr>
          <w:rFonts w:hint="eastAsia"/>
          <w:b/>
          <w:bCs/>
          <w:sz w:val="44"/>
          <w:szCs w:val="40"/>
        </w:rPr>
      </w:pPr>
      <w:r>
        <w:rPr>
          <w:b/>
          <w:bCs/>
          <w:sz w:val="44"/>
          <w:szCs w:val="40"/>
        </w:rPr>
        <w:t>（征求意见稿）编制说明</w:t>
      </w:r>
    </w:p>
    <w:p w14:paraId="6A11A86D">
      <w:pPr>
        <w:ind w:firstLine="560"/>
        <w:rPr>
          <w:rFonts w:hint="eastAsia"/>
        </w:rPr>
      </w:pPr>
    </w:p>
    <w:p w14:paraId="392C9317">
      <w:pPr>
        <w:ind w:firstLine="560"/>
        <w:rPr>
          <w:rFonts w:hint="eastAsia"/>
        </w:rPr>
      </w:pPr>
    </w:p>
    <w:p w14:paraId="378C0575">
      <w:pPr>
        <w:ind w:firstLine="560"/>
        <w:rPr>
          <w:rFonts w:hint="eastAsia"/>
        </w:rPr>
      </w:pPr>
    </w:p>
    <w:p w14:paraId="3A3A01E2">
      <w:pPr>
        <w:ind w:firstLine="560"/>
        <w:rPr>
          <w:rFonts w:hint="eastAsia"/>
        </w:rPr>
      </w:pPr>
    </w:p>
    <w:p w14:paraId="60DD3EDC">
      <w:pPr>
        <w:ind w:firstLine="803"/>
        <w:jc w:val="center"/>
        <w:rPr>
          <w:rFonts w:hint="eastAsia"/>
          <w:b/>
          <w:bCs/>
          <w:sz w:val="40"/>
          <w:szCs w:val="36"/>
        </w:rPr>
      </w:pPr>
      <w:r>
        <w:rPr>
          <w:b/>
          <w:bCs/>
          <w:sz w:val="40"/>
          <w:szCs w:val="36"/>
        </w:rPr>
        <w:t>202</w:t>
      </w:r>
      <w:r>
        <w:rPr>
          <w:rFonts w:hint="eastAsia"/>
          <w:b/>
          <w:bCs/>
          <w:sz w:val="40"/>
          <w:szCs w:val="36"/>
        </w:rPr>
        <w:t>6</w:t>
      </w:r>
      <w:r>
        <w:rPr>
          <w:b/>
          <w:bCs/>
          <w:sz w:val="40"/>
          <w:szCs w:val="36"/>
        </w:rPr>
        <w:t>年</w:t>
      </w:r>
      <w:r>
        <w:rPr>
          <w:rFonts w:hint="eastAsia"/>
          <w:b/>
          <w:bCs/>
          <w:sz w:val="40"/>
          <w:szCs w:val="36"/>
          <w:lang w:val="en-US" w:eastAsia="zh-CN"/>
        </w:rPr>
        <w:t>9</w:t>
      </w:r>
      <w:r>
        <w:rPr>
          <w:b/>
          <w:bCs/>
          <w:sz w:val="40"/>
          <w:szCs w:val="36"/>
        </w:rPr>
        <w:t>月</w:t>
      </w:r>
      <w:r>
        <w:rPr>
          <w:rFonts w:hint="eastAsia"/>
          <w:b/>
          <w:bCs/>
          <w:sz w:val="40"/>
          <w:szCs w:val="36"/>
          <w:lang w:val="en-US" w:eastAsia="zh-CN"/>
        </w:rPr>
        <w:t>XX</w:t>
      </w:r>
      <w:r>
        <w:rPr>
          <w:b/>
          <w:bCs/>
          <w:sz w:val="40"/>
          <w:szCs w:val="36"/>
        </w:rPr>
        <w:t>日</w:t>
      </w:r>
    </w:p>
    <w:p w14:paraId="177EE570">
      <w:pPr>
        <w:pStyle w:val="23"/>
        <w:framePr w:h="584" w:hRule="exact" w:hSpace="181" w:vSpace="181" w:wrap="around" w:vAnchor="page" w:hAnchor="page" w:x="2156" w:y="14697"/>
        <w:spacing w:line="240" w:lineRule="auto"/>
        <w:rPr>
          <w:rFonts w:hint="eastAsia" w:hAnsi="黑体"/>
          <w:sz w:val="28"/>
          <w:szCs w:val="28"/>
        </w:rPr>
      </w:pPr>
      <w:r>
        <w:rPr>
          <w:rFonts w:hint="eastAsia" w:hAnsi="黑体"/>
          <w:w w:val="100"/>
          <w:sz w:val="28"/>
          <w:szCs w:val="28"/>
        </w:rPr>
        <w:t>中国海洋学会发布</w:t>
      </w:r>
    </w:p>
    <w:p w14:paraId="4B985427">
      <w:pPr>
        <w:ind w:left="0" w:leftChars="0" w:firstLine="0" w:firstLineChars="0"/>
        <w:rPr>
          <w:rFonts w:hint="eastAsia"/>
        </w:rPr>
      </w:pPr>
    </w:p>
    <w:p w14:paraId="58BE91D4">
      <w:pPr>
        <w:ind w:firstLine="560"/>
      </w:pPr>
    </w:p>
    <w:p w14:paraId="294D04AC">
      <w:pPr>
        <w:ind w:firstLine="560"/>
        <w:rPr>
          <w:rFonts w:hint="eastAsia"/>
        </w:rPr>
      </w:pPr>
    </w:p>
    <w:p w14:paraId="23ABBF71">
      <w:pPr>
        <w:ind w:firstLine="560"/>
      </w:pPr>
    </w:p>
    <w:p w14:paraId="5886393B">
      <w:pPr>
        <w:ind w:firstLine="560"/>
      </w:pPr>
    </w:p>
    <w:p w14:paraId="510F4C32"/>
    <w:p w14:paraId="0B7F502F">
      <w:pPr>
        <w:ind w:firstLine="560"/>
        <w:rPr>
          <w:rFonts w:hint="eastAsia"/>
        </w:rPr>
      </w:pPr>
      <w:r>
        <w:rPr>
          <w:rFonts w:hint="eastAsia" w:ascii="宋体" w:hAnsi="宋体"/>
          <w:szCs w:val="28"/>
        </w:rPr>
        <mc:AlternateContent>
          <mc:Choice Requires="wps">
            <w:drawing>
              <wp:anchor distT="0" distB="0" distL="114300" distR="114300" simplePos="0" relativeHeight="251659264" behindDoc="0" locked="0" layoutInCell="1" allowOverlap="1">
                <wp:simplePos x="0" y="0"/>
                <wp:positionH relativeFrom="column">
                  <wp:posOffset>-543560</wp:posOffset>
                </wp:positionH>
                <wp:positionV relativeFrom="paragraph">
                  <wp:posOffset>4450080</wp:posOffset>
                </wp:positionV>
                <wp:extent cx="6252845" cy="6350"/>
                <wp:effectExtent l="0" t="0" r="33655" b="32385"/>
                <wp:wrapNone/>
                <wp:docPr id="1572099537" name="直接连接符 2"/>
                <wp:cNvGraphicFramePr/>
                <a:graphic xmlns:a="http://schemas.openxmlformats.org/drawingml/2006/main">
                  <a:graphicData uri="http://schemas.microsoft.com/office/word/2010/wordprocessingShape">
                    <wps:wsp>
                      <wps:cNvCnPr/>
                      <wps:spPr bwMode="auto">
                        <a:xfrm flipV="1">
                          <a:off x="0" y="0"/>
                          <a:ext cx="6252845" cy="6350"/>
                        </a:xfrm>
                        <a:prstGeom prst="line">
                          <a:avLst/>
                        </a:prstGeom>
                        <a:noFill/>
                        <a:ln w="9525">
                          <a:solidFill>
                            <a:srgbClr val="000000"/>
                          </a:solidFill>
                          <a:round/>
                        </a:ln>
                      </wps:spPr>
                      <wps:bodyPr/>
                    </wps:wsp>
                  </a:graphicData>
                </a:graphic>
              </wp:anchor>
            </w:drawing>
          </mc:Choice>
          <mc:Fallback>
            <w:pict>
              <v:line id="直接连接符 2" o:spid="_x0000_s1026" o:spt="20" style="position:absolute;left:0pt;flip:y;margin-left:-42.8pt;margin-top:350.4pt;height:0.5pt;width:492.35pt;z-index:251659264;mso-width-relative:page;mso-height-relative:page;" filled="f" stroked="t" coordsize="21600,21600" o:gfxdata="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R8EEd2AAAAAsBAAAPAAAA&#10;AAAAAAEAIAAAACIAAABkcnMvZG93bnJldi54bWxQSwECFAAUAAAACACHTuJAkNvMy9wBAACOAwAA&#10;DgAAAAAAAAABACAAAAAnAQAAZHJzL2Uyb0RvYy54bWxQSwUGAAAAAAYABgBZAQAAdQUAAAAA&#10;">
                <v:fill on="f" focussize="0,0"/>
                <v:stroke color="#000000" joinstyle="round"/>
                <v:imagedata o:title=""/>
                <o:lock v:ext="edit" aspectratio="f"/>
              </v:line>
            </w:pict>
          </mc:Fallback>
        </mc:AlternateContent>
      </w:r>
      <w:r>
        <w:rPr>
          <w:rFonts w:hint="eastAsia"/>
        </w:rPr>
        <w:br w:type="page"/>
      </w:r>
    </w:p>
    <w:sdt>
      <w:sdtPr>
        <w:rPr>
          <w:color w:val="auto"/>
          <w:sz w:val="40"/>
          <w:szCs w:val="40"/>
          <w:lang w:val="zh-CN"/>
        </w:rPr>
        <w:id w:val="2006544742"/>
        <w:docPartObj>
          <w:docPartGallery w:val="Table of Contents"/>
          <w:docPartUnique/>
        </w:docPartObj>
      </w:sdtPr>
      <w:sdtEndPr>
        <w:rPr>
          <w:rFonts w:cs="宋体" w:asciiTheme="minorEastAsia" w:hAnsiTheme="minorEastAsia" w:eastAsiaTheme="minorEastAsia"/>
          <w:b/>
          <w:bCs/>
          <w:color w:val="auto"/>
          <w:sz w:val="21"/>
          <w:szCs w:val="21"/>
          <w:lang w:val="zh-CN"/>
        </w:rPr>
      </w:sdtEndPr>
      <w:sdtContent>
        <w:p w14:paraId="3E93CF4E">
          <w:pPr>
            <w:pStyle w:val="26"/>
            <w:spacing w:line="360" w:lineRule="auto"/>
            <w:ind w:left="0" w:leftChars="0" w:firstLine="0" w:firstLineChars="0"/>
            <w:jc w:val="center"/>
            <w:rPr>
              <w:rFonts w:hint="eastAsia"/>
              <w:color w:val="auto"/>
              <w:sz w:val="32"/>
              <w:szCs w:val="32"/>
            </w:rPr>
          </w:pPr>
          <w:r>
            <w:rPr>
              <w:color w:val="auto"/>
              <w:sz w:val="32"/>
              <w:szCs w:val="32"/>
              <w:lang w:val="zh-CN"/>
            </w:rPr>
            <w:t>目</w:t>
          </w:r>
          <w:r>
            <w:rPr>
              <w:rFonts w:hint="eastAsia"/>
              <w:color w:val="auto"/>
              <w:sz w:val="32"/>
              <w:szCs w:val="32"/>
              <w:lang w:val="en-US" w:eastAsia="zh-CN"/>
            </w:rPr>
            <w:t xml:space="preserve">    </w:t>
          </w:r>
          <w:r>
            <w:rPr>
              <w:color w:val="auto"/>
              <w:sz w:val="32"/>
              <w:szCs w:val="32"/>
              <w:lang w:val="zh-CN"/>
            </w:rPr>
            <w:t>录</w:t>
          </w:r>
        </w:p>
        <w:p w14:paraId="73DA569A">
          <w:pPr>
            <w:pStyle w:val="8"/>
            <w:spacing w:line="360" w:lineRule="auto"/>
            <w:ind w:firstLine="0" w:firstLineChars="0"/>
            <w:rPr>
              <w:sz w:val="24"/>
            </w:rPr>
          </w:pPr>
        </w:p>
        <w:p w14:paraId="2A6F33F4">
          <w:pPr>
            <w:pStyle w:val="8"/>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Theme="minorHAnsi" w:hAnsiTheme="minorHAnsi" w:cstheme="minorBidi"/>
              <w:kern w:val="2"/>
              <w:sz w:val="24"/>
              <w14:ligatures w14:val="standardContextual"/>
            </w:rPr>
          </w:pPr>
          <w:r>
            <w:rPr>
              <w:sz w:val="24"/>
            </w:rPr>
            <w:fldChar w:fldCharType="begin"/>
          </w:r>
          <w:r>
            <w:rPr>
              <w:sz w:val="24"/>
            </w:rPr>
            <w:instrText xml:space="preserve"> TOC \o "1-3" \h \z \u </w:instrText>
          </w:r>
          <w:r>
            <w:rPr>
              <w:rFonts w:hint="eastAsia"/>
              <w:sz w:val="24"/>
            </w:rPr>
            <w:fldChar w:fldCharType="separate"/>
          </w:r>
          <w:r>
            <w:fldChar w:fldCharType="begin"/>
          </w:r>
          <w:r>
            <w:instrText xml:space="preserve"> HYPERLINK \l "_Toc213929720" </w:instrText>
          </w:r>
          <w:r>
            <w:fldChar w:fldCharType="separate"/>
          </w:r>
          <w:r>
            <w:rPr>
              <w:rStyle w:val="14"/>
              <w:rFonts w:hint="eastAsia"/>
              <w:sz w:val="24"/>
            </w:rPr>
            <w:t>一、工作简况</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_Toc213929720 \h</w:instrText>
          </w:r>
          <w:r>
            <w:rPr>
              <w:rFonts w:hint="eastAsia"/>
              <w:sz w:val="24"/>
            </w:rPr>
            <w:instrText xml:space="preserve"> </w:instrText>
          </w:r>
          <w:r>
            <w:rPr>
              <w:rFonts w:hint="eastAsia"/>
              <w:sz w:val="24"/>
            </w:rPr>
            <w:fldChar w:fldCharType="separate"/>
          </w:r>
          <w:r>
            <w:rPr>
              <w:sz w:val="24"/>
            </w:rPr>
            <w:t>1</w:t>
          </w:r>
          <w:r>
            <w:rPr>
              <w:rFonts w:hint="eastAsia"/>
              <w:sz w:val="24"/>
            </w:rPr>
            <w:fldChar w:fldCharType="end"/>
          </w:r>
          <w:r>
            <w:rPr>
              <w:rFonts w:hint="eastAsia"/>
              <w:sz w:val="24"/>
            </w:rPr>
            <w:fldChar w:fldCharType="end"/>
          </w:r>
        </w:p>
        <w:p w14:paraId="04AF887B">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"_Toc213929724" </w:instrText>
          </w:r>
          <w:r>
            <w:fldChar w:fldCharType="separate"/>
          </w:r>
          <w:r>
            <w:rPr>
              <w:rStyle w:val="14"/>
              <w:rFonts w:hint="eastAsia"/>
              <w:sz w:val="24"/>
            </w:rPr>
            <w:t>二、团体标准编制原则、主要内容及其确定的依据</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_Toc213929724 \h</w:instrText>
          </w:r>
          <w:r>
            <w:rPr>
              <w:rFonts w:hint="eastAsia"/>
              <w:sz w:val="24"/>
            </w:rPr>
            <w:instrText xml:space="preserve"> </w:instrText>
          </w:r>
          <w:r>
            <w:rPr>
              <w:rFonts w:hint="eastAsia"/>
              <w:sz w:val="24"/>
            </w:rPr>
            <w:fldChar w:fldCharType="separate"/>
          </w:r>
          <w:r>
            <w:rPr>
              <w:sz w:val="24"/>
            </w:rPr>
            <w:t>4</w:t>
          </w:r>
          <w:r>
            <w:rPr>
              <w:rFonts w:hint="eastAsia"/>
              <w:sz w:val="24"/>
            </w:rPr>
            <w:fldChar w:fldCharType="end"/>
          </w:r>
          <w:r>
            <w:rPr>
              <w:rFonts w:hint="eastAsia"/>
              <w:sz w:val="24"/>
            </w:rPr>
            <w:fldChar w:fldCharType="end"/>
          </w:r>
        </w:p>
        <w:p w14:paraId="51A258D3">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"_Toc213929726" </w:instrText>
          </w:r>
          <w:r>
            <w:fldChar w:fldCharType="separate"/>
          </w:r>
          <w:r>
            <w:rPr>
              <w:rStyle w:val="14"/>
              <w:rFonts w:hint="eastAsia"/>
              <w:sz w:val="24"/>
            </w:rPr>
            <w:t>三、试验验证的分析、综述报告，技术经济论证，预期的经济效益、社会效益和生态效益</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_Toc213929726 \h</w:instrText>
          </w:r>
          <w:r>
            <w:rPr>
              <w:rFonts w:hint="eastAsia"/>
              <w:sz w:val="24"/>
            </w:rPr>
            <w:instrText xml:space="preserve"> </w:instrText>
          </w:r>
          <w:r>
            <w:rPr>
              <w:rFonts w:hint="eastAsia"/>
              <w:sz w:val="24"/>
            </w:rPr>
            <w:fldChar w:fldCharType="separate"/>
          </w:r>
          <w:r>
            <w:rPr>
              <w:sz w:val="24"/>
            </w:rPr>
            <w:t>6</w:t>
          </w:r>
          <w:r>
            <w:rPr>
              <w:rFonts w:hint="eastAsia"/>
              <w:sz w:val="24"/>
            </w:rPr>
            <w:fldChar w:fldCharType="end"/>
          </w:r>
          <w:r>
            <w:rPr>
              <w:rFonts w:hint="eastAsia"/>
              <w:sz w:val="24"/>
            </w:rPr>
            <w:fldChar w:fldCharType="end"/>
          </w:r>
        </w:p>
        <w:p w14:paraId="1E3CEA6F">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"_Toc213929729" </w:instrText>
          </w:r>
          <w:r>
            <w:fldChar w:fldCharType="separate"/>
          </w:r>
          <w:r>
            <w:rPr>
              <w:rStyle w:val="14"/>
              <w:rFonts w:hint="eastAsia"/>
              <w:sz w:val="24"/>
            </w:rPr>
            <w:t>四、与国际、国外同类标准技术内容的对比情况，或与测试的国外样品、样机有关数据的对比情况；</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_Toc213929729 \h</w:instrText>
          </w:r>
          <w:r>
            <w:rPr>
              <w:rFonts w:hint="eastAsia"/>
              <w:sz w:val="24"/>
            </w:rPr>
            <w:instrText xml:space="preserve"> </w:instrText>
          </w:r>
          <w:r>
            <w:rPr>
              <w:rFonts w:hint="eastAsia"/>
              <w:sz w:val="24"/>
            </w:rPr>
            <w:fldChar w:fldCharType="separate"/>
          </w:r>
          <w:r>
            <w:rPr>
              <w:sz w:val="24"/>
            </w:rPr>
            <w:t>10</w:t>
          </w:r>
          <w:r>
            <w:rPr>
              <w:rFonts w:hint="eastAsia"/>
              <w:sz w:val="24"/>
            </w:rPr>
            <w:fldChar w:fldCharType="end"/>
          </w:r>
          <w:r>
            <w:rPr>
              <w:rFonts w:hint="eastAsia"/>
              <w:sz w:val="24"/>
            </w:rPr>
            <w:fldChar w:fldCharType="end"/>
          </w:r>
        </w:p>
        <w:p w14:paraId="138DCFED">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"_Toc213929732" </w:instrText>
          </w:r>
          <w:r>
            <w:fldChar w:fldCharType="separate"/>
          </w:r>
          <w:r>
            <w:rPr>
              <w:rStyle w:val="14"/>
              <w:rFonts w:hint="eastAsia"/>
              <w:sz w:val="24"/>
            </w:rPr>
            <w:t>五、以国际标准或国外先进标准为基础起草的团体标准，说明是否合规引用或采用</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_Toc213929732 \h</w:instrText>
          </w:r>
          <w:r>
            <w:rPr>
              <w:rFonts w:hint="eastAsia"/>
              <w:sz w:val="24"/>
            </w:rPr>
            <w:instrText xml:space="preserve"> </w:instrText>
          </w:r>
          <w:r>
            <w:rPr>
              <w:rFonts w:hint="eastAsia"/>
              <w:sz w:val="24"/>
            </w:rPr>
            <w:fldChar w:fldCharType="separate"/>
          </w:r>
          <w:r>
            <w:rPr>
              <w:sz w:val="24"/>
            </w:rPr>
            <w:t>11</w:t>
          </w:r>
          <w:r>
            <w:rPr>
              <w:rFonts w:hint="eastAsia"/>
              <w:sz w:val="24"/>
            </w:rPr>
            <w:fldChar w:fldCharType="end"/>
          </w:r>
          <w:r>
            <w:rPr>
              <w:rFonts w:hint="eastAsia"/>
              <w:sz w:val="24"/>
            </w:rPr>
            <w:fldChar w:fldCharType="end"/>
          </w:r>
        </w:p>
        <w:p w14:paraId="426E749D">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"_Toc213929733" </w:instrText>
          </w:r>
          <w:r>
            <w:fldChar w:fldCharType="separate"/>
          </w:r>
          <w:r>
            <w:rPr>
              <w:rStyle w:val="14"/>
              <w:rFonts w:hint="eastAsia"/>
              <w:sz w:val="24"/>
            </w:rPr>
            <w:t>六、与相关法律、行政法规及相关标准的关系</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_Toc213929733 \h</w:instrText>
          </w:r>
          <w:r>
            <w:rPr>
              <w:rFonts w:hint="eastAsia"/>
              <w:sz w:val="24"/>
            </w:rPr>
            <w:instrText xml:space="preserve"> </w:instrText>
          </w:r>
          <w:r>
            <w:rPr>
              <w:rFonts w:hint="eastAsia"/>
              <w:sz w:val="24"/>
            </w:rPr>
            <w:fldChar w:fldCharType="separate"/>
          </w:r>
          <w:r>
            <w:rPr>
              <w:sz w:val="24"/>
            </w:rPr>
            <w:t>11</w:t>
          </w:r>
          <w:r>
            <w:rPr>
              <w:rFonts w:hint="eastAsia"/>
              <w:sz w:val="24"/>
            </w:rPr>
            <w:fldChar w:fldCharType="end"/>
          </w:r>
          <w:r>
            <w:rPr>
              <w:rFonts w:hint="eastAsia"/>
              <w:sz w:val="24"/>
            </w:rPr>
            <w:fldChar w:fldCharType="end"/>
          </w:r>
        </w:p>
        <w:p w14:paraId="227C89BF">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"_Toc213929734" </w:instrText>
          </w:r>
          <w:r>
            <w:fldChar w:fldCharType="separate"/>
          </w:r>
          <w:r>
            <w:rPr>
              <w:rStyle w:val="14"/>
              <w:rFonts w:hint="eastAsia"/>
              <w:sz w:val="24"/>
            </w:rPr>
            <w:t>七、重大分歧意见的处理经过和依据</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_Toc213929734 \h</w:instrText>
          </w:r>
          <w:r>
            <w:rPr>
              <w:rFonts w:hint="eastAsia"/>
              <w:sz w:val="24"/>
            </w:rPr>
            <w:instrText xml:space="preserve"> </w:instrText>
          </w:r>
          <w:r>
            <w:rPr>
              <w:rFonts w:hint="eastAsia"/>
              <w:sz w:val="24"/>
            </w:rPr>
            <w:fldChar w:fldCharType="separate"/>
          </w:r>
          <w:r>
            <w:rPr>
              <w:sz w:val="24"/>
            </w:rPr>
            <w:t>12</w:t>
          </w:r>
          <w:r>
            <w:rPr>
              <w:rFonts w:hint="eastAsia"/>
              <w:sz w:val="24"/>
            </w:rPr>
            <w:fldChar w:fldCharType="end"/>
          </w:r>
          <w:r>
            <w:rPr>
              <w:rFonts w:hint="eastAsia"/>
              <w:sz w:val="24"/>
            </w:rPr>
            <w:fldChar w:fldCharType="end"/>
          </w:r>
        </w:p>
        <w:p w14:paraId="1EBD2EA5">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"_Toc213929735" </w:instrText>
          </w:r>
          <w:r>
            <w:fldChar w:fldCharType="separate"/>
          </w:r>
          <w:r>
            <w:rPr>
              <w:rStyle w:val="14"/>
              <w:rFonts w:hint="eastAsia"/>
              <w:sz w:val="24"/>
            </w:rPr>
            <w:t>八、涉及专利的有关说明</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_Toc213929735 \h</w:instrText>
          </w:r>
          <w:r>
            <w:rPr>
              <w:rFonts w:hint="eastAsia"/>
              <w:sz w:val="24"/>
            </w:rPr>
            <w:instrText xml:space="preserve"> </w:instrText>
          </w:r>
          <w:r>
            <w:rPr>
              <w:rFonts w:hint="eastAsia"/>
              <w:sz w:val="24"/>
            </w:rPr>
            <w:fldChar w:fldCharType="separate"/>
          </w:r>
          <w:r>
            <w:rPr>
              <w:sz w:val="24"/>
            </w:rPr>
            <w:t>13</w:t>
          </w:r>
          <w:r>
            <w:rPr>
              <w:rFonts w:hint="eastAsia"/>
              <w:sz w:val="24"/>
            </w:rPr>
            <w:fldChar w:fldCharType="end"/>
          </w:r>
          <w:r>
            <w:rPr>
              <w:rFonts w:hint="eastAsia"/>
              <w:sz w:val="24"/>
            </w:rPr>
            <w:fldChar w:fldCharType="end"/>
          </w:r>
        </w:p>
        <w:p w14:paraId="5AB323A4">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"_Toc213929736" </w:instrText>
          </w:r>
          <w:r>
            <w:fldChar w:fldCharType="separate"/>
          </w:r>
          <w:r>
            <w:rPr>
              <w:rStyle w:val="14"/>
              <w:rFonts w:hint="eastAsia"/>
              <w:sz w:val="24"/>
            </w:rPr>
            <w:t>九、实施团体标准的要求和措施建议（包括组织措施、技术措施、过渡办法等内容）</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_Toc213929736 \h</w:instrText>
          </w:r>
          <w:r>
            <w:rPr>
              <w:rFonts w:hint="eastAsia"/>
              <w:sz w:val="24"/>
            </w:rPr>
            <w:instrText xml:space="preserve"> </w:instrText>
          </w:r>
          <w:r>
            <w:rPr>
              <w:rFonts w:hint="eastAsia"/>
              <w:sz w:val="24"/>
            </w:rPr>
            <w:fldChar w:fldCharType="separate"/>
          </w:r>
          <w:r>
            <w:rPr>
              <w:sz w:val="24"/>
            </w:rPr>
            <w:t>13</w:t>
          </w:r>
          <w:r>
            <w:rPr>
              <w:rFonts w:hint="eastAsia"/>
              <w:sz w:val="24"/>
            </w:rPr>
            <w:fldChar w:fldCharType="end"/>
          </w:r>
          <w:r>
            <w:rPr>
              <w:rFonts w:hint="eastAsia"/>
              <w:sz w:val="24"/>
            </w:rPr>
            <w:fldChar w:fldCharType="end"/>
          </w:r>
        </w:p>
        <w:p w14:paraId="4E6E754C">
          <w:pPr>
            <w:pStyle w:val="8"/>
            <w:keepNext w:val="0"/>
            <w:keepLines w:val="0"/>
            <w:pageBreakBefore w:val="0"/>
            <w:widowControl w:val="0"/>
            <w:kinsoku/>
            <w:wordWrap/>
            <w:overflowPunct/>
            <w:topLinePunct w:val="0"/>
            <w:autoSpaceDE/>
            <w:autoSpaceDN/>
            <w:bidi w:val="0"/>
            <w:adjustRightInd/>
            <w:snapToGrid/>
            <w:spacing w:line="360" w:lineRule="auto"/>
            <w:ind w:left="480" w:hanging="560" w:hangingChars="200"/>
            <w:textAlignment w:val="auto"/>
            <w:rPr>
              <w:rFonts w:hint="eastAsia" w:asciiTheme="minorHAnsi" w:hAnsiTheme="minorHAnsi" w:cstheme="minorBidi"/>
              <w:kern w:val="2"/>
              <w:sz w:val="24"/>
              <w14:ligatures w14:val="standardContextual"/>
            </w:rPr>
          </w:pPr>
          <w:r>
            <w:fldChar w:fldCharType="begin"/>
          </w:r>
          <w:r>
            <w:instrText xml:space="preserve"> HYPERLINK \l "_Toc213929739" </w:instrText>
          </w:r>
          <w:r>
            <w:fldChar w:fldCharType="separate"/>
          </w:r>
          <w:r>
            <w:rPr>
              <w:rStyle w:val="14"/>
              <w:rFonts w:hint="eastAsia"/>
              <w:sz w:val="24"/>
            </w:rPr>
            <w:t>十、其它应当说明的事项</w:t>
          </w:r>
          <w:r>
            <w:rPr>
              <w:rFonts w:hint="eastAsia"/>
              <w:sz w:val="24"/>
            </w:rPr>
            <w:tab/>
          </w:r>
          <w:r>
            <w:rPr>
              <w:rFonts w:hint="eastAsia"/>
              <w:sz w:val="24"/>
            </w:rPr>
            <w:fldChar w:fldCharType="begin"/>
          </w:r>
          <w:r>
            <w:rPr>
              <w:rFonts w:hint="eastAsia"/>
              <w:sz w:val="24"/>
            </w:rPr>
            <w:instrText xml:space="preserve"> </w:instrText>
          </w:r>
          <w:r>
            <w:rPr>
              <w:sz w:val="24"/>
            </w:rPr>
            <w:instrText xml:space="preserve">PAGEREF _Toc213929739 \h</w:instrText>
          </w:r>
          <w:r>
            <w:rPr>
              <w:rFonts w:hint="eastAsia"/>
              <w:sz w:val="24"/>
            </w:rPr>
            <w:instrText xml:space="preserve"> </w:instrText>
          </w:r>
          <w:r>
            <w:rPr>
              <w:rFonts w:hint="eastAsia"/>
              <w:sz w:val="24"/>
            </w:rPr>
            <w:fldChar w:fldCharType="separate"/>
          </w:r>
          <w:r>
            <w:rPr>
              <w:sz w:val="24"/>
            </w:rPr>
            <w:t>14</w:t>
          </w:r>
          <w:r>
            <w:rPr>
              <w:rFonts w:hint="eastAsia"/>
              <w:sz w:val="24"/>
            </w:rPr>
            <w:fldChar w:fldCharType="end"/>
          </w:r>
          <w:r>
            <w:rPr>
              <w:rFonts w:hint="eastAsia"/>
              <w:sz w:val="24"/>
            </w:rPr>
            <w:fldChar w:fldCharType="end"/>
          </w:r>
        </w:p>
        <w:p w14:paraId="4784B336">
          <w:pPr>
            <w:keepNext w:val="0"/>
            <w:keepLines w:val="0"/>
            <w:pageBreakBefore w:val="0"/>
            <w:widowControl w:val="0"/>
            <w:kinsoku/>
            <w:wordWrap/>
            <w:overflowPunct/>
            <w:topLinePunct w:val="0"/>
            <w:autoSpaceDE/>
            <w:autoSpaceDN/>
            <w:bidi w:val="0"/>
            <w:adjustRightInd/>
            <w:snapToGrid/>
            <w:spacing w:line="360" w:lineRule="auto"/>
            <w:ind w:left="480" w:hanging="482" w:hangingChars="200"/>
            <w:textAlignment w:val="auto"/>
            <w:rPr>
              <w:rFonts w:hint="eastAsia"/>
              <w:sz w:val="21"/>
              <w:szCs w:val="21"/>
            </w:rPr>
          </w:pPr>
          <w:r>
            <w:rPr>
              <w:b/>
              <w:bCs/>
              <w:sz w:val="24"/>
              <w:lang w:val="zh-CN"/>
            </w:rPr>
            <w:fldChar w:fldCharType="end"/>
          </w:r>
        </w:p>
      </w:sdtContent>
    </w:sdt>
    <w:p w14:paraId="166E4EFF">
      <w:pPr>
        <w:ind w:firstLine="0" w:firstLineChars="0"/>
      </w:pPr>
    </w:p>
    <w:p w14:paraId="1F4EDC49">
      <w:pPr>
        <w:ind w:firstLine="560"/>
        <w:rPr>
          <w:rFonts w:hint="eastAsia"/>
        </w:rPr>
      </w:pPr>
    </w:p>
    <w:p w14:paraId="70F5DBBA">
      <w:pPr>
        <w:ind w:firstLine="560"/>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703CE1D6">
      <w:pPr>
        <w:pStyle w:val="2"/>
        <w:rPr>
          <w:rFonts w:hint="eastAsia"/>
        </w:rPr>
      </w:pPr>
      <w:bookmarkStart w:id="1" w:name="_Toc213929720"/>
      <w:r>
        <w:t>一、工作简况</w:t>
      </w:r>
      <w:bookmarkEnd w:id="1"/>
    </w:p>
    <w:p w14:paraId="21CDEA05">
      <w:pPr>
        <w:pStyle w:val="3"/>
        <w:rPr>
          <w:rFonts w:hint="eastAsia"/>
        </w:rPr>
      </w:pPr>
      <w:bookmarkStart w:id="2" w:name="_Toc213929721"/>
      <w:r>
        <w:t>（一）任务来源</w:t>
      </w:r>
      <w:bookmarkEnd w:id="2"/>
    </w:p>
    <w:p w14:paraId="0D293C10">
      <w:pPr>
        <w:ind w:firstLine="560"/>
        <w:rPr>
          <w:rFonts w:hint="eastAsia"/>
          <w:highlight w:val="none"/>
        </w:rPr>
      </w:pPr>
      <w:r>
        <w:rPr>
          <w:highlight w:val="none"/>
        </w:rPr>
        <w:t>本标准项目由中国海洋学会提出并归口，列入202</w:t>
      </w:r>
      <w:r>
        <w:rPr>
          <w:rFonts w:hint="eastAsia"/>
          <w:highlight w:val="none"/>
          <w:lang w:val="en-US" w:eastAsia="zh-CN"/>
        </w:rPr>
        <w:t>6</w:t>
      </w:r>
      <w:r>
        <w:rPr>
          <w:highlight w:val="none"/>
        </w:rPr>
        <w:t>年第一批团体标准制修订计划（中海学字〔202</w:t>
      </w:r>
      <w:r>
        <w:rPr>
          <w:rFonts w:hint="eastAsia"/>
          <w:highlight w:val="none"/>
          <w:lang w:val="en-US" w:eastAsia="zh-CN"/>
        </w:rPr>
        <w:t>6</w:t>
      </w:r>
      <w:r>
        <w:rPr>
          <w:highlight w:val="none"/>
        </w:rPr>
        <w:t>〕</w:t>
      </w:r>
      <w:r>
        <w:rPr>
          <w:rFonts w:hint="eastAsia"/>
          <w:highlight w:val="none"/>
          <w:lang w:val="en-US" w:eastAsia="zh-CN"/>
        </w:rPr>
        <w:t>1</w:t>
      </w:r>
      <w:r>
        <w:rPr>
          <w:highlight w:val="none"/>
        </w:rPr>
        <w:t>号）。</w:t>
      </w:r>
    </w:p>
    <w:p w14:paraId="5D16B41A">
      <w:pPr>
        <w:pStyle w:val="3"/>
        <w:rPr>
          <w:rFonts w:hint="eastAsia"/>
        </w:rPr>
      </w:pPr>
      <w:bookmarkStart w:id="3" w:name="_Toc213929722"/>
      <w:r>
        <w:t>（二）制定背景</w:t>
      </w:r>
      <w:bookmarkEnd w:id="3"/>
      <w:bookmarkStart w:id="21" w:name="_GoBack"/>
      <w:bookmarkEnd w:id="21"/>
    </w:p>
    <w:p w14:paraId="402411F3">
      <w:pPr>
        <w:ind w:firstLine="560"/>
        <w:rPr>
          <w:rFonts w:hint="eastAsia"/>
        </w:rPr>
      </w:pPr>
      <w:r>
        <w:rPr>
          <w:rFonts w:hint="eastAsia"/>
        </w:rPr>
        <w:t>根据《全国沿海渔港建设规划（2018-2025年）》</w:t>
      </w:r>
      <w:r>
        <w:rPr>
          <w:rFonts w:hint="eastAsia"/>
          <w:lang w:val="en-US" w:eastAsia="zh-CN"/>
        </w:rPr>
        <w:t>及《渔港经济区建设规划及实施方案报告编制要求》（SC/T6108-2025）</w:t>
      </w:r>
      <w:r>
        <w:rPr>
          <w:rFonts w:hint="eastAsia"/>
        </w:rPr>
        <w:t>，渔港经济区是在建设现代渔港的基础上，密切结合城镇建设和产业集聚，形成以渔港为龙头、城镇为依托、渔业为基础，集渔船避风补给、鱼货交易、冷链物流、精深加工、海洋药物、休闲观光、城镇建设为一体，区域产业结构平衡、产业层次较高、辐射效应明显的现代渔业经济区。渔港经济区是现代渔港的重要发展趋势，是渔业、海洋经济增长的重要抓手。《全国沿海渔港建设规划（2018年—2025年）》提出，全国将建成93个渔港经济区。《“十四五”全国渔业发展规划》提出加强渔港经济区等园区建设，打造产加销贯通、农工贸一体、一二三产融合发展的现代化产业园区，推进优势区域建设等。进入“十四五”以来，浙江等沿海地区省市县陆续编制发布了渔港经济区建设规划。2021年底，农业农村部正式启动建设15个国家级沿海渔港经济区项目试点。2023年4月，习近平总书记在东海岛国家863基地调研，提出以“大食物观”为引领，统筹陆海资源，建设海上牧场与“蓝色粮仓”，</w:t>
      </w:r>
      <w:r>
        <w:rPr>
          <w:rFonts w:hint="eastAsia"/>
          <w:lang w:val="en-US" w:eastAsia="zh-CN"/>
        </w:rPr>
        <w:t>这些政策文件</w:t>
      </w:r>
      <w:r>
        <w:rPr>
          <w:rFonts w:hint="eastAsia"/>
        </w:rPr>
        <w:t>为渔港经济区建设指明方向，提供根本遵循。</w:t>
      </w:r>
    </w:p>
    <w:p w14:paraId="3CA05287">
      <w:pPr>
        <w:ind w:firstLine="560"/>
        <w:rPr>
          <w:rFonts w:hint="eastAsia"/>
        </w:rPr>
      </w:pPr>
      <w:r>
        <w:t>然而，</w:t>
      </w:r>
      <w:r>
        <w:rPr>
          <w:rFonts w:hint="eastAsia"/>
        </w:rPr>
        <w:t>目前对渔港经济区的定义内涵、功能作用等尚未有统一认识。开展渔港经济区指标体系研究，构建涵盖渔港经济区特征、功能作用、产业发展策略、建设技术、监测评价办法于一体的现代渔港经济区发展指标体系，有利于抢抓国家级沿海渔港经济区创建机遇，为持续推进渔业治理体系和治理能力现代化，构建现代海洋渔业产业体系提供技术支撑，为推进渔业渔村振兴贡献力量。</w:t>
      </w:r>
    </w:p>
    <w:p w14:paraId="0DEB9B8F">
      <w:pPr>
        <w:ind w:firstLine="560"/>
        <w:rPr>
          <w:rFonts w:hint="eastAsia"/>
          <w:lang w:val="en-US" w:eastAsia="zh-CN"/>
        </w:rPr>
      </w:pPr>
      <w:r>
        <w:t>本标准的编制通过标准化、规范化的技术路径，</w:t>
      </w:r>
      <w:r>
        <w:rPr>
          <w:rFonts w:hint="eastAsia"/>
          <w:lang w:val="en-US" w:eastAsia="zh-CN"/>
        </w:rPr>
        <w:t>主要有三大目的：</w:t>
      </w:r>
    </w:p>
    <w:p w14:paraId="61FA3BC9">
      <w:pPr>
        <w:ind w:firstLine="560"/>
        <w:rPr>
          <w:rFonts w:hint="eastAsia"/>
          <w:highlight w:val="none"/>
        </w:rPr>
      </w:pPr>
      <w:r>
        <w:rPr>
          <w:rFonts w:hint="eastAsia"/>
          <w:b/>
          <w:bCs/>
          <w:highlight w:val="none"/>
        </w:rPr>
        <w:t>1.构建多维评价体系引导渔港经济区高质量发展。</w:t>
      </w:r>
      <w:r>
        <w:rPr>
          <w:rFonts w:hint="eastAsia"/>
          <w:highlight w:val="none"/>
        </w:rPr>
        <w:t>通过设立涵盖经济、社会、生态、治理等多维度的综合评价体系，引导渔港经济区从“有没有”转向“好不好”，更加注重内涵式发展、绿色发展和可持续发展。</w:t>
      </w:r>
    </w:p>
    <w:p w14:paraId="22AD6061">
      <w:pPr>
        <w:ind w:firstLine="560"/>
        <w:rPr>
          <w:rFonts w:hint="eastAsia"/>
          <w:highlight w:val="none"/>
        </w:rPr>
      </w:pPr>
      <w:r>
        <w:rPr>
          <w:rFonts w:hint="eastAsia"/>
          <w:b/>
          <w:bCs/>
          <w:highlight w:val="none"/>
        </w:rPr>
        <w:t>2.引入标准化管理工具提升行业治理能力。</w:t>
      </w:r>
      <w:r>
        <w:rPr>
          <w:rFonts w:hint="eastAsia"/>
          <w:highlight w:val="none"/>
        </w:rPr>
        <w:t>该标准首次为行业管理提供一套标准化、定量化的工具，有利于提升政府监管效能、优化资源配置、实现科学决策。</w:t>
      </w:r>
    </w:p>
    <w:p w14:paraId="5947887F">
      <w:pPr>
        <w:ind w:firstLine="560"/>
        <w:rPr>
          <w:rFonts w:hint="eastAsia"/>
        </w:rPr>
      </w:pPr>
      <w:r>
        <w:rPr>
          <w:rFonts w:hint="eastAsia"/>
          <w:b/>
          <w:bCs/>
          <w:highlight w:val="none"/>
        </w:rPr>
        <w:t>3.公开评价结果激发市场活力与社会参与。</w:t>
      </w:r>
      <w:r>
        <w:rPr>
          <w:rFonts w:hint="eastAsia"/>
        </w:rPr>
        <w:t>标准的制定与实施，为金融机构、社会资本和市场主体提供清晰的参考依据。同时通过公开评价结果，促进形成社会监督，倒逼运营主体持续改进，有效激发市场和社会力量参与热情，为渔港经济区发展注入新动能。</w:t>
      </w:r>
    </w:p>
    <w:p w14:paraId="2BAB3C1E">
      <w:pPr>
        <w:pStyle w:val="3"/>
        <w:rPr>
          <w:rFonts w:hint="eastAsia"/>
        </w:rPr>
      </w:pPr>
      <w:bookmarkStart w:id="4" w:name="_Toc213929723"/>
      <w:r>
        <w:t>（三）起草过程</w:t>
      </w:r>
      <w:bookmarkEnd w:id="4"/>
    </w:p>
    <w:p w14:paraId="499183F7">
      <w:pPr>
        <w:ind w:firstLine="560"/>
        <w:rPr>
          <w:rFonts w:hint="eastAsia"/>
        </w:rPr>
      </w:pPr>
      <w:r>
        <w:t>为保证本标准的制定质量，标准内容切实可行，标准实施后能为</w:t>
      </w:r>
      <w:r>
        <w:rPr>
          <w:rFonts w:hint="eastAsia"/>
          <w:lang w:val="en-US" w:eastAsia="zh-CN"/>
        </w:rPr>
        <w:t>渔港经济区发展</w:t>
      </w:r>
      <w:r>
        <w:t>提供具体指导，标准起草组结合实际情况，经过综合分析、多次讨论研究和反复修改，起草编制完成《</w:t>
      </w:r>
      <w:r>
        <w:rPr>
          <w:rFonts w:hint="eastAsia"/>
          <w:lang w:val="en-US" w:eastAsia="zh-CN"/>
        </w:rPr>
        <w:t>渔港经济区发展质量评价指南</w:t>
      </w:r>
      <w:r>
        <w:t>》标准。主要开展工作情况如下：</w:t>
      </w:r>
    </w:p>
    <w:p w14:paraId="3C0A8949">
      <w:pPr>
        <w:ind w:firstLine="560"/>
        <w:rPr>
          <w:rFonts w:hint="eastAsia"/>
          <w:b/>
          <w:bCs/>
        </w:rPr>
      </w:pPr>
      <w:r>
        <w:rPr>
          <w:b/>
          <w:bCs/>
        </w:rPr>
        <w:t>1.成立标准起草小组</w:t>
      </w:r>
    </w:p>
    <w:p w14:paraId="454BAF07">
      <w:pPr>
        <w:ind w:firstLine="560"/>
        <w:rPr>
          <w:rFonts w:hint="eastAsia"/>
        </w:rPr>
      </w:pPr>
      <w:r>
        <w:rPr>
          <w:rFonts w:hint="eastAsia"/>
        </w:rPr>
        <w:t>202</w:t>
      </w:r>
      <w:r>
        <w:rPr>
          <w:rFonts w:hint="eastAsia"/>
          <w:lang w:val="en-US" w:eastAsia="zh-CN"/>
        </w:rPr>
        <w:t>5</w:t>
      </w:r>
      <w:r>
        <w:rPr>
          <w:rFonts w:hint="eastAsia"/>
        </w:rPr>
        <w:t>年</w:t>
      </w:r>
      <w:r>
        <w:rPr>
          <w:rFonts w:hint="eastAsia"/>
          <w:lang w:val="en-US" w:eastAsia="zh-CN"/>
        </w:rPr>
        <w:t>9</w:t>
      </w:r>
      <w:r>
        <w:rPr>
          <w:rFonts w:hint="eastAsia"/>
        </w:rPr>
        <w:t>月</w:t>
      </w:r>
      <w:r>
        <w:t>，由</w:t>
      </w:r>
      <w:r>
        <w:rPr>
          <w:rFonts w:hint="eastAsia"/>
          <w:lang w:val="en-US" w:eastAsia="zh-CN"/>
        </w:rPr>
        <w:t>自然资源部第二海洋研究所牵头</w:t>
      </w:r>
      <w:r>
        <w:t>，联合</w:t>
      </w:r>
      <w:r>
        <w:rPr>
          <w:rFonts w:hint="eastAsia"/>
        </w:rPr>
        <w:t>温州市生态环境局平阳分局</w:t>
      </w:r>
      <w:r>
        <w:t>召开</w:t>
      </w:r>
      <w:r>
        <w:rPr>
          <w:color w:val="000000"/>
        </w:rPr>
        <w:t>标准起草</w:t>
      </w:r>
      <w:r>
        <w:t>专题工作会议，讨论、研究制定标准的工作方案和工作程序，研究确定本标准所涉及范围和主要内容。成立项目起草小组，明确小组成员职责分工。</w:t>
      </w:r>
    </w:p>
    <w:p w14:paraId="19CE1A1A">
      <w:pPr>
        <w:ind w:firstLine="560"/>
        <w:rPr>
          <w:rFonts w:hint="eastAsia"/>
          <w:b/>
          <w:bCs/>
        </w:rPr>
      </w:pPr>
      <w:r>
        <w:rPr>
          <w:b/>
          <w:bCs/>
        </w:rPr>
        <w:t>2.制定工作计划</w:t>
      </w:r>
    </w:p>
    <w:p w14:paraId="3D4A3ABF">
      <w:pPr>
        <w:ind w:firstLine="560"/>
        <w:rPr>
          <w:rFonts w:hint="eastAsia"/>
        </w:rPr>
      </w:pPr>
      <w:r>
        <w:t>项目起草小组制定了起草标准工作计划，对各工作过程与步骤做出安排，要求起草小组在规定时间内，按规定进度开展各项工作。</w:t>
      </w:r>
    </w:p>
    <w:p w14:paraId="065AB42A">
      <w:pPr>
        <w:ind w:firstLine="560"/>
        <w:rPr>
          <w:rFonts w:hint="eastAsia"/>
          <w:b/>
          <w:bCs/>
        </w:rPr>
      </w:pPr>
      <w:r>
        <w:rPr>
          <w:b/>
          <w:bCs/>
        </w:rPr>
        <w:t>3.座谈研讨</w:t>
      </w:r>
    </w:p>
    <w:p w14:paraId="5A155432">
      <w:pPr>
        <w:ind w:firstLine="560"/>
        <w:rPr>
          <w:rFonts w:hint="eastAsia"/>
        </w:rPr>
      </w:pPr>
      <w:r>
        <w:t>202</w:t>
      </w:r>
      <w:r>
        <w:rPr>
          <w:rFonts w:hint="eastAsia"/>
        </w:rPr>
        <w:t>5</w:t>
      </w:r>
      <w:r>
        <w:t>年</w:t>
      </w:r>
      <w:r>
        <w:rPr>
          <w:rFonts w:hint="eastAsia"/>
          <w:lang w:val="en-US" w:eastAsia="zh-CN"/>
        </w:rPr>
        <w:t>10</w:t>
      </w:r>
      <w:r>
        <w:t>月，标准研制工作组多次召开标准草案研讨会，会上对标准草案、立项申请书内容进行研讨并对草案和立项分析报告进行完善。</w:t>
      </w:r>
    </w:p>
    <w:p w14:paraId="279E0EDE">
      <w:pPr>
        <w:ind w:firstLine="560"/>
        <w:rPr>
          <w:rFonts w:hint="eastAsia"/>
          <w:b/>
          <w:bCs/>
        </w:rPr>
      </w:pPr>
      <w:r>
        <w:rPr>
          <w:b/>
          <w:bCs/>
        </w:rPr>
        <w:t>4.召开立项审查会</w:t>
      </w:r>
    </w:p>
    <w:p w14:paraId="27383017">
      <w:pPr>
        <w:ind w:firstLine="560"/>
        <w:rPr>
          <w:rFonts w:hint="eastAsia"/>
        </w:rPr>
      </w:pPr>
      <w:r>
        <w:rPr>
          <w:rFonts w:hint="eastAsia"/>
        </w:rPr>
        <w:t>2025年</w:t>
      </w:r>
      <w:r>
        <w:rPr>
          <w:rFonts w:hint="eastAsia"/>
          <w:lang w:val="en-US" w:eastAsia="zh-CN"/>
        </w:rPr>
        <w:t>12</w:t>
      </w:r>
      <w:r>
        <w:rPr>
          <w:rFonts w:hint="eastAsia"/>
        </w:rPr>
        <w:t>月1</w:t>
      </w:r>
      <w:r>
        <w:rPr>
          <w:rFonts w:hint="eastAsia"/>
          <w:lang w:val="en-US" w:eastAsia="zh-CN"/>
        </w:rPr>
        <w:t>1</w:t>
      </w:r>
      <w:r>
        <w:rPr>
          <w:rFonts w:hint="eastAsia"/>
        </w:rPr>
        <w:t>日</w:t>
      </w:r>
      <w:r>
        <w:t>，中国海洋学会海洋标准化分会在</w:t>
      </w:r>
      <w:r>
        <w:rPr>
          <w:rFonts w:hint="eastAsia"/>
        </w:rPr>
        <w:t>线</w:t>
      </w:r>
      <w:r>
        <w:t>主持召开了《</w:t>
      </w:r>
      <w:r>
        <w:rPr>
          <w:rFonts w:hint="eastAsia"/>
        </w:rPr>
        <w:t>渔港经济区发展质量评价</w:t>
      </w:r>
      <w:r>
        <w:rPr>
          <w:rFonts w:hint="eastAsia"/>
          <w:lang w:val="en-US" w:eastAsia="zh-CN"/>
        </w:rPr>
        <w:t>指南</w:t>
      </w:r>
      <w:r>
        <w:t>》团体标准立项审查会。对立项申请材料加以论证和研讨，专家组一致同意《</w:t>
      </w:r>
      <w:r>
        <w:rPr>
          <w:rFonts w:hint="eastAsia"/>
        </w:rPr>
        <w:t>渔港经济区</w:t>
      </w:r>
      <w:r>
        <w:rPr>
          <w:rFonts w:hint="eastAsia"/>
          <w:lang w:val="en-US" w:eastAsia="zh-CN"/>
        </w:rPr>
        <w:t>监测</w:t>
      </w:r>
      <w:r>
        <w:rPr>
          <w:rFonts w:hint="eastAsia"/>
        </w:rPr>
        <w:t>评价</w:t>
      </w:r>
      <w:r>
        <w:rPr>
          <w:rFonts w:hint="eastAsia"/>
          <w:lang w:val="en-US" w:eastAsia="zh-CN"/>
        </w:rPr>
        <w:t>指南</w:t>
      </w:r>
      <w:r>
        <w:t>》团体标准通过立项审查，并建议将标准名称改成《</w:t>
      </w:r>
      <w:r>
        <w:rPr>
          <w:rFonts w:hint="eastAsia"/>
        </w:rPr>
        <w:t>渔港经济区发展质量评价</w:t>
      </w:r>
      <w:r>
        <w:rPr>
          <w:rFonts w:hint="eastAsia"/>
          <w:lang w:val="en-US" w:eastAsia="zh-CN"/>
        </w:rPr>
        <w:t>指南</w:t>
      </w:r>
      <w:r>
        <w:t>》，并提出了标准修改完善建议：</w:t>
      </w:r>
    </w:p>
    <w:p w14:paraId="526C3CA5">
      <w:pPr>
        <w:ind w:firstLine="560"/>
        <w:rPr>
          <w:rFonts w:hint="eastAsia"/>
        </w:rPr>
      </w:pPr>
      <w:r>
        <w:t>（1）</w:t>
      </w:r>
      <w:r>
        <w:rPr>
          <w:rFonts w:hint="eastAsia"/>
        </w:rPr>
        <w:t>建议将标准名称修改为《渔港经济区发展质量评价指南》；</w:t>
      </w:r>
    </w:p>
    <w:p w14:paraId="0633EF17">
      <w:pPr>
        <w:ind w:firstLine="560"/>
        <w:rPr>
          <w:rFonts w:hint="eastAsia"/>
        </w:rPr>
      </w:pPr>
      <w:r>
        <w:rPr>
          <w:rFonts w:hint="eastAsia"/>
          <w:lang w:eastAsia="zh-CN"/>
        </w:rPr>
        <w:t>（</w:t>
      </w:r>
      <w:r>
        <w:rPr>
          <w:rFonts w:hint="eastAsia"/>
          <w:lang w:val="en-US" w:eastAsia="zh-CN"/>
        </w:rPr>
        <w:t>2）</w:t>
      </w:r>
      <w:r>
        <w:rPr>
          <w:rFonts w:hint="eastAsia"/>
        </w:rPr>
        <w:t>修改完善评价指标体系，重点关注渔港经济区基本情况信息、空间利用效率等方面；</w:t>
      </w:r>
    </w:p>
    <w:p w14:paraId="5E279C75">
      <w:pPr>
        <w:ind w:firstLine="560"/>
        <w:rPr>
          <w:rFonts w:hint="eastAsia"/>
        </w:rPr>
      </w:pPr>
      <w:r>
        <w:rPr>
          <w:rFonts w:hint="eastAsia"/>
          <w:lang w:eastAsia="zh-CN"/>
        </w:rPr>
        <w:t>（</w:t>
      </w:r>
      <w:r>
        <w:rPr>
          <w:rFonts w:hint="eastAsia"/>
          <w:lang w:val="en-US" w:eastAsia="zh-CN"/>
        </w:rPr>
        <w:t>3）</w:t>
      </w:r>
      <w:r>
        <w:rPr>
          <w:rFonts w:hint="eastAsia"/>
        </w:rPr>
        <w:t>按照团体标准管理要求，按期完成标准制定；</w:t>
      </w:r>
    </w:p>
    <w:p w14:paraId="5459375A">
      <w:pPr>
        <w:pStyle w:val="2"/>
        <w:rPr>
          <w:rFonts w:hint="eastAsia"/>
        </w:rPr>
      </w:pPr>
      <w:bookmarkStart w:id="5" w:name="_Toc213929724"/>
      <w:r>
        <w:rPr>
          <w:rFonts w:hint="eastAsia"/>
        </w:rPr>
        <w:t>二、</w:t>
      </w:r>
      <w:r>
        <w:t>团体标准编制原则、主要内容及其确定的依据</w:t>
      </w:r>
      <w:bookmarkEnd w:id="5"/>
    </w:p>
    <w:p w14:paraId="3C2D59C5">
      <w:pPr>
        <w:ind w:firstLine="560"/>
        <w:rPr>
          <w:rFonts w:hint="eastAsia"/>
        </w:rPr>
      </w:pPr>
      <w:r>
        <w:rPr>
          <w:rFonts w:hint="eastAsia"/>
          <w:lang w:eastAsia="zh-CN"/>
        </w:rPr>
        <w:t>（</w:t>
      </w:r>
      <w:r>
        <w:rPr>
          <w:rFonts w:hint="eastAsia"/>
          <w:lang w:val="en-US" w:eastAsia="zh-CN"/>
        </w:rPr>
        <w:t>一）</w:t>
      </w:r>
      <w:r>
        <w:t>编制原则</w:t>
      </w:r>
    </w:p>
    <w:p w14:paraId="2FEEBD95">
      <w:pPr>
        <w:ind w:firstLine="560"/>
        <w:rPr>
          <w:rFonts w:hint="eastAsia"/>
        </w:rPr>
      </w:pPr>
      <w:r>
        <w:t>制订《</w:t>
      </w:r>
      <w:r>
        <w:rPr>
          <w:rFonts w:hint="eastAsia"/>
          <w:lang w:val="en-US" w:eastAsia="zh-CN"/>
        </w:rPr>
        <w:t>渔港经济区发展质量评价指南</w:t>
      </w:r>
      <w:r>
        <w:t>》团体标准以科学、客观、合理、适用为原则，界定了</w:t>
      </w:r>
      <w:r>
        <w:rPr>
          <w:rFonts w:hint="eastAsia"/>
          <w:lang w:val="en-US" w:eastAsia="zh-CN"/>
        </w:rPr>
        <w:t>渔港经济区</w:t>
      </w:r>
      <w:r>
        <w:t>的术语与定义，确立了建设原则，提供了</w:t>
      </w:r>
      <w:r>
        <w:rPr>
          <w:rFonts w:hint="eastAsia"/>
          <w:lang w:val="en-US" w:eastAsia="zh-CN"/>
        </w:rPr>
        <w:t>渔港经济区发展质量评价</w:t>
      </w:r>
      <w:r>
        <w:rPr>
          <w:rFonts w:hint="eastAsia"/>
        </w:rPr>
        <w:t>的</w:t>
      </w:r>
      <w:r>
        <w:rPr>
          <w:rFonts w:hint="eastAsia"/>
          <w:lang w:val="en-US" w:eastAsia="zh-CN"/>
        </w:rPr>
        <w:t>分类</w:t>
      </w:r>
      <w:r>
        <w:t>指导</w:t>
      </w:r>
      <w:r>
        <w:rPr>
          <w:rFonts w:hint="eastAsia"/>
          <w:lang w:val="en-US" w:eastAsia="zh-CN"/>
        </w:rPr>
        <w:t>标准</w:t>
      </w:r>
      <w:r>
        <w:t>。</w:t>
      </w:r>
    </w:p>
    <w:p w14:paraId="0E0C920E">
      <w:pPr>
        <w:ind w:firstLine="560"/>
        <w:rPr>
          <w:rFonts w:hint="eastAsia"/>
        </w:rPr>
      </w:pPr>
      <w:r>
        <w:rPr>
          <w:rFonts w:hint="eastAsia"/>
        </w:rPr>
        <w:t>1.系统全面原则。由于渔港经济区具有渔业经济多元化带动经济社会一体化发展的综合性、复杂性的特征，评价指标体系的内容既要全面地反映区域当下发展的水平，又要能够预测未来的发展潜力；既要关注渔港经济区本身，还要反映其对周边区域社会民生产生的综合影响。因此，指标体系围绕“港产城”融合，从渔港提升、产业优化、开放创新、渔村振兴、美丽渔区五大维度出发，在确保指标相互独立、互为补充的前提下，系统全面反映渔港经济区带动经济和社会的发展情况。</w:t>
      </w:r>
    </w:p>
    <w:p w14:paraId="6A49859D">
      <w:pPr>
        <w:ind w:firstLine="560"/>
        <w:rPr>
          <w:rFonts w:hint="eastAsia"/>
        </w:rPr>
      </w:pPr>
      <w:r>
        <w:rPr>
          <w:rFonts w:hint="eastAsia"/>
        </w:rPr>
        <w:t>2.科学客观原则。渔港经济区发展评价指标体系需根据国家关于渔港经济区建设的目标思路，正确理解渔港经济区的本质特征和发展规律，联系渔港经济区发展实际，科学严谨设计指标和评价方法，才能确保评价结果的科学客观。因此，指标体系设计上选取可量化的代表性指标，可量化指标规避数据获取中的主观因素，而代表性指标避免信息遗漏和信息冗余，力求有效表征所评价维度的核心和关键方面，兼顾评价指标体系的质量和效率。</w:t>
      </w:r>
    </w:p>
    <w:p w14:paraId="7E6C3872">
      <w:pPr>
        <w:ind w:firstLine="560"/>
        <w:rPr>
          <w:rFonts w:hint="eastAsia"/>
        </w:rPr>
      </w:pPr>
      <w:r>
        <w:rPr>
          <w:rFonts w:hint="eastAsia"/>
        </w:rPr>
        <w:t>3.可操作性原则。评价指标的设置要目的明确、定义准确，优先考虑权威性、有依据的数据来源，保证指标数据的可获得和评价过程的可行性。其次要考虑评价结果在各渔港经济区之间的横向可比较，以保证和评价结果的权威可用。因此，指标设置上优先选取于《农业及相关产业统计分类（2020）》《国家级沿海渔港经济区项目实施管理细则（试行）》《全国渔业经济统计公报》等权威文件，部分指标可通过计算和处理相关指标获得，确保数据来源真实可靠，且统计口径与国家统计局的相关制度保持一致。</w:t>
      </w:r>
    </w:p>
    <w:p w14:paraId="28005C28">
      <w:pPr>
        <w:pStyle w:val="3"/>
        <w:rPr>
          <w:rFonts w:hint="eastAsia"/>
        </w:rPr>
      </w:pPr>
      <w:bookmarkStart w:id="6" w:name="_Toc213929725"/>
      <w:r>
        <w:rPr>
          <w:rFonts w:hint="eastAsia"/>
        </w:rPr>
        <w:t>（</w:t>
      </w:r>
      <w:r>
        <w:rPr>
          <w:rFonts w:hint="eastAsia"/>
          <w:lang w:val="en-US" w:eastAsia="zh-CN"/>
        </w:rPr>
        <w:t>二</w:t>
      </w:r>
      <w:r>
        <w:rPr>
          <w:rFonts w:hint="eastAsia"/>
        </w:rPr>
        <w:t>）</w:t>
      </w:r>
      <w:r>
        <w:t>主要内容及其确定的依据</w:t>
      </w:r>
      <w:bookmarkEnd w:id="6"/>
    </w:p>
    <w:p w14:paraId="42BDEA21">
      <w:pPr>
        <w:ind w:firstLine="560"/>
        <w:rPr>
          <w:rFonts w:hint="eastAsia"/>
        </w:rPr>
      </w:pPr>
      <w:r>
        <w:t>本文件界定了</w:t>
      </w:r>
      <w:r>
        <w:rPr>
          <w:rFonts w:hint="eastAsia"/>
          <w:lang w:val="en-US" w:eastAsia="zh-CN"/>
        </w:rPr>
        <w:t>渔港经济区</w:t>
      </w:r>
      <w:r>
        <w:t>的术语与定义，确立了建设原则，</w:t>
      </w:r>
      <w:r>
        <w:rPr>
          <w:rFonts w:hint="eastAsia"/>
          <w:lang w:val="en-US" w:eastAsia="zh-CN"/>
        </w:rPr>
        <w:t>通过从</w:t>
      </w:r>
      <w:r>
        <w:rPr>
          <w:rFonts w:hint="eastAsia"/>
        </w:rPr>
        <w:t>经济、社会、生态、治理等多个维度</w:t>
      </w:r>
      <w:r>
        <w:rPr>
          <w:rFonts w:hint="eastAsia"/>
          <w:lang w:val="en-US" w:eastAsia="zh-CN"/>
        </w:rPr>
        <w:t>对渔港经济区发展进行综合评价，</w:t>
      </w:r>
      <w:r>
        <w:rPr>
          <w:rFonts w:hint="eastAsia"/>
        </w:rPr>
        <w:t>规定了渔港经济区评价工作的总体要求、评价指标、评价方法和评价程序</w:t>
      </w:r>
      <w:r>
        <w:t>。本文件适用于</w:t>
      </w:r>
      <w:r>
        <w:rPr>
          <w:rFonts w:hint="eastAsia"/>
        </w:rPr>
        <w:t>国家级、省级等不同层级的中心渔港、一级渔港、二级渔港、三级渔港等不同类型的渔港经济区评价</w:t>
      </w:r>
      <w:r>
        <w:t>。</w:t>
      </w:r>
    </w:p>
    <w:p w14:paraId="749247B9">
      <w:pPr>
        <w:ind w:firstLine="560"/>
        <w:rPr>
          <w:rFonts w:hint="eastAsia"/>
        </w:rPr>
      </w:pPr>
      <w:r>
        <w:t>1.术语和定义：提炼总结了</w:t>
      </w:r>
      <w:r>
        <w:rPr>
          <w:rFonts w:hint="eastAsia"/>
          <w:lang w:val="en-US" w:eastAsia="zh-CN"/>
        </w:rPr>
        <w:t>渔港经济区发展的历史阶段特征</w:t>
      </w:r>
      <w:r>
        <w:t>，规范了“</w:t>
      </w:r>
      <w:r>
        <w:rPr>
          <w:rFonts w:hint="eastAsia"/>
          <w:lang w:val="en-US" w:eastAsia="zh-CN"/>
        </w:rPr>
        <w:t>渔港经济区</w:t>
      </w:r>
      <w:r>
        <w:t>”</w:t>
      </w:r>
      <w:r>
        <w:rPr>
          <w:rFonts w:hint="eastAsia"/>
          <w:lang w:eastAsia="zh-CN"/>
        </w:rPr>
        <w:t>“</w:t>
      </w:r>
      <w:r>
        <w:rPr>
          <w:rFonts w:hint="eastAsia"/>
          <w:lang w:val="en-US" w:eastAsia="zh-CN"/>
        </w:rPr>
        <w:t>发展质量评价”</w:t>
      </w:r>
      <w:r>
        <w:t>的术语与定义，为文件中各项技术条款提供统一的表述依据。</w:t>
      </w:r>
    </w:p>
    <w:p w14:paraId="3A60C179">
      <w:pPr>
        <w:ind w:firstLine="560"/>
        <w:rPr>
          <w:rFonts w:hint="eastAsia"/>
        </w:rPr>
      </w:pPr>
      <w:r>
        <w:t>2.</w:t>
      </w:r>
      <w:r>
        <w:rPr>
          <w:rFonts w:hint="eastAsia"/>
          <w:lang w:val="en-US" w:eastAsia="zh-CN"/>
        </w:rPr>
        <w:t>指标体系设计</w:t>
      </w:r>
      <w:r>
        <w:t>：</w:t>
      </w:r>
      <w:r>
        <w:rPr>
          <w:rFonts w:hint="eastAsia"/>
        </w:rPr>
        <w:t>主要以“渔港现代化、渔业现代化、渔村现代化”为导向，重点评价以下几个方面的能力：</w:t>
      </w:r>
    </w:p>
    <w:p w14:paraId="1EB5802C">
      <w:pPr>
        <w:ind w:firstLine="560"/>
        <w:rPr>
          <w:rFonts w:hint="eastAsia"/>
        </w:rPr>
      </w:pPr>
      <w:r>
        <w:rPr>
          <w:rFonts w:hint="eastAsia"/>
          <w:lang w:eastAsia="zh-CN"/>
        </w:rPr>
        <w:t>（</w:t>
      </w:r>
      <w:r>
        <w:rPr>
          <w:rFonts w:hint="eastAsia"/>
          <w:lang w:val="en-US" w:eastAsia="zh-CN"/>
        </w:rPr>
        <w:t>1）</w:t>
      </w:r>
      <w:r>
        <w:rPr>
          <w:rFonts w:hint="eastAsia"/>
        </w:rPr>
        <w:t>基础保障与运营能力：评估渔港基础设施、安全生产与日常运营管理水平。</w:t>
      </w:r>
    </w:p>
    <w:p w14:paraId="32EE9712">
      <w:pPr>
        <w:ind w:firstLine="560"/>
        <w:rPr>
          <w:rFonts w:hint="eastAsia"/>
        </w:rPr>
      </w:pPr>
      <w:r>
        <w:rPr>
          <w:rFonts w:hint="eastAsia"/>
          <w:lang w:eastAsia="zh-CN"/>
        </w:rPr>
        <w:t>（</w:t>
      </w:r>
      <w:r>
        <w:rPr>
          <w:rFonts w:hint="eastAsia"/>
          <w:lang w:val="en-US" w:eastAsia="zh-CN"/>
        </w:rPr>
        <w:t>2）</w:t>
      </w:r>
      <w:r>
        <w:rPr>
          <w:rFonts w:hint="eastAsia"/>
        </w:rPr>
        <w:t>经济发展与产业活力：评估经济区的产业规模、结构、效益。</w:t>
      </w:r>
    </w:p>
    <w:p w14:paraId="22312FEC">
      <w:pPr>
        <w:ind w:firstLine="560"/>
        <w:rPr>
          <w:rFonts w:hint="eastAsia"/>
        </w:rPr>
      </w:pPr>
      <w:r>
        <w:rPr>
          <w:rFonts w:hint="eastAsia"/>
          <w:lang w:eastAsia="zh-CN"/>
        </w:rPr>
        <w:t>（</w:t>
      </w:r>
      <w:r>
        <w:rPr>
          <w:rFonts w:hint="eastAsia"/>
          <w:lang w:val="en-US" w:eastAsia="zh-CN"/>
        </w:rPr>
        <w:t>3）</w:t>
      </w:r>
      <w:r>
        <w:rPr>
          <w:rFonts w:hint="eastAsia"/>
        </w:rPr>
        <w:t>管理与创新效能：评估治理体系、智慧化水平与政策创新能力。</w:t>
      </w:r>
    </w:p>
    <w:p w14:paraId="4F5C6F06">
      <w:pPr>
        <w:ind w:firstLine="560"/>
        <w:rPr>
          <w:rFonts w:hint="eastAsia"/>
        </w:rPr>
      </w:pPr>
      <w:r>
        <w:rPr>
          <w:rFonts w:hint="eastAsia"/>
          <w:lang w:eastAsia="zh-CN"/>
        </w:rPr>
        <w:t>（</w:t>
      </w:r>
      <w:r>
        <w:rPr>
          <w:rFonts w:hint="eastAsia"/>
          <w:lang w:val="en-US" w:eastAsia="zh-CN"/>
        </w:rPr>
        <w:t>4）</w:t>
      </w:r>
      <w:r>
        <w:rPr>
          <w:rFonts w:hint="eastAsia"/>
        </w:rPr>
        <w:t>资源环境与绿色可持续：评估资源节约利用、环境保护与生态建设水平。</w:t>
      </w:r>
    </w:p>
    <w:p w14:paraId="72CADD21">
      <w:pPr>
        <w:ind w:firstLine="560"/>
        <w:rPr>
          <w:rFonts w:hint="eastAsia"/>
        </w:rPr>
      </w:pPr>
      <w:r>
        <w:rPr>
          <w:rFonts w:hint="eastAsia"/>
          <w:lang w:eastAsia="zh-CN"/>
        </w:rPr>
        <w:t>（</w:t>
      </w:r>
      <w:r>
        <w:rPr>
          <w:rFonts w:hint="eastAsia"/>
          <w:lang w:val="en-US" w:eastAsia="zh-CN"/>
        </w:rPr>
        <w:t>5）</w:t>
      </w:r>
      <w:r>
        <w:rPr>
          <w:rFonts w:hint="eastAsia"/>
        </w:rPr>
        <w:t xml:space="preserve">社会民生与区域带动：评估对就业、收入、文化传承及社区发展的贡献。 </w:t>
      </w:r>
    </w:p>
    <w:p w14:paraId="53302063">
      <w:pPr>
        <w:pStyle w:val="2"/>
        <w:rPr>
          <w:rFonts w:hint="eastAsia"/>
        </w:rPr>
      </w:pPr>
      <w:bookmarkStart w:id="7" w:name="_Toc213929726"/>
      <w:r>
        <w:rPr>
          <w:rFonts w:hint="eastAsia"/>
        </w:rPr>
        <w:t>三、</w:t>
      </w:r>
      <w:r>
        <w:t>试验验证的分析、综述报告，技术经济论证，预期的经济效益、社会效益和生态效益</w:t>
      </w:r>
      <w:bookmarkEnd w:id="7"/>
    </w:p>
    <w:p w14:paraId="626DDB17">
      <w:pPr>
        <w:pStyle w:val="3"/>
        <w:rPr>
          <w:rFonts w:hint="eastAsia"/>
        </w:rPr>
      </w:pPr>
      <w:bookmarkStart w:id="8" w:name="_Toc213929727"/>
      <w:r>
        <w:t>（一）试验验证的分析、综述报告，技术经济论证</w:t>
      </w:r>
      <w:bookmarkEnd w:id="8"/>
    </w:p>
    <w:p w14:paraId="1D0E8A48">
      <w:pPr>
        <w:ind w:firstLine="560"/>
        <w:rPr>
          <w:rFonts w:hint="eastAsia"/>
        </w:rPr>
      </w:pPr>
      <w:r>
        <w:rPr>
          <w:rFonts w:hint="eastAsia"/>
        </w:rPr>
        <w:t>1.</w:t>
      </w:r>
      <w:r>
        <w:t>试验验证与数据分析</w:t>
      </w:r>
    </w:p>
    <w:p w14:paraId="756D4EA5">
      <w:pPr>
        <w:ind w:firstLine="560"/>
        <w:rPr>
          <w:rFonts w:hint="eastAsia"/>
        </w:rPr>
      </w:pPr>
      <w:r>
        <w:t>区域性试验验证：</w:t>
      </w:r>
      <w:r>
        <w:rPr>
          <w:rFonts w:hint="eastAsia"/>
        </w:rPr>
        <w:t>基于前期构建的包含“保障功能、集聚功能、带动功能、示范功能、创新功能、引领功能、窗口功能”</w:t>
      </w:r>
      <w:r>
        <w:rPr>
          <w:rFonts w:hint="eastAsia"/>
          <w:lang w:val="en-US" w:eastAsia="zh-CN"/>
        </w:rPr>
        <w:t>七</w:t>
      </w:r>
      <w:r>
        <w:rPr>
          <w:rFonts w:hint="eastAsia"/>
        </w:rPr>
        <w:t>大维度的综合评价指标体系，该体系仍处于理论模型阶段，</w:t>
      </w:r>
      <w:r>
        <w:rPr>
          <w:rFonts w:hint="eastAsia"/>
          <w:lang w:val="en-US" w:eastAsia="zh-CN"/>
        </w:rPr>
        <w:t>后期我们将</w:t>
      </w:r>
      <w:r>
        <w:rPr>
          <w:rFonts w:hint="eastAsia"/>
        </w:rPr>
        <w:t>通过实践检验其科学性、可操作性和导向性。</w:t>
      </w:r>
    </w:p>
    <w:p w14:paraId="7D6F0520">
      <w:pPr>
        <w:ind w:firstLine="560"/>
        <w:rPr>
          <w:rFonts w:hint="eastAsia"/>
        </w:rPr>
      </w:pPr>
      <w:r>
        <w:rPr>
          <w:rFonts w:hint="eastAsia"/>
        </w:rPr>
        <w:t>2.</w:t>
      </w:r>
      <w:r>
        <w:t>技术可行性综述</w:t>
      </w:r>
      <w:r>
        <w:rPr>
          <w:rFonts w:ascii="Cambria Math" w:hAnsi="Cambria Math" w:cs="Cambria Math"/>
        </w:rPr>
        <w:t>​</w:t>
      </w:r>
    </w:p>
    <w:p w14:paraId="4E4E989E">
      <w:pPr>
        <w:ind w:firstLine="560"/>
        <w:rPr>
          <w:rFonts w:hint="eastAsia"/>
        </w:rPr>
      </w:pPr>
      <w:r>
        <w:rPr>
          <w:rFonts w:hint="eastAsia"/>
          <w:lang w:eastAsia="zh-CN"/>
        </w:rPr>
        <w:t>（</w:t>
      </w:r>
      <w:r>
        <w:rPr>
          <w:rFonts w:hint="eastAsia"/>
          <w:lang w:val="en-US" w:eastAsia="zh-CN"/>
        </w:rPr>
        <w:t>1）</w:t>
      </w:r>
      <w:r>
        <w:rPr>
          <w:rFonts w:hint="eastAsia"/>
        </w:rPr>
        <w:t>数据标准化</w:t>
      </w:r>
    </w:p>
    <w:p w14:paraId="3FF3DE00">
      <w:pPr>
        <w:ind w:firstLine="560"/>
        <w:rPr>
          <w:rFonts w:hint="eastAsia"/>
        </w:rPr>
      </w:pPr>
      <w:r>
        <w:rPr>
          <w:rFonts w:hint="eastAsia"/>
        </w:rPr>
        <w:t>为消除量纲影响，宜采用极值法对原始数据进行标准化处理，将其转换为无量纲的评价值。</w:t>
      </w:r>
    </w:p>
    <w:p w14:paraId="76D6ED64">
      <w:pPr>
        <w:ind w:firstLine="560"/>
        <w:rPr>
          <w:rFonts w:hint="eastAsia"/>
        </w:rPr>
      </w:pPr>
      <w:r>
        <w:rPr>
          <w:rFonts w:hint="eastAsia"/>
          <w:lang w:eastAsia="zh-CN"/>
        </w:rPr>
        <w:t>（</w:t>
      </w:r>
      <w:r>
        <w:rPr>
          <w:rFonts w:hint="eastAsia"/>
          <w:lang w:val="en-US" w:eastAsia="zh-CN"/>
        </w:rPr>
        <w:t>2）</w:t>
      </w:r>
      <w:r>
        <w:rPr>
          <w:rFonts w:hint="eastAsia"/>
        </w:rPr>
        <w:t>指标权重确定</w:t>
      </w:r>
    </w:p>
    <w:p w14:paraId="2D73D1E7">
      <w:pPr>
        <w:ind w:firstLine="560"/>
        <w:rPr>
          <w:rFonts w:hint="eastAsia"/>
        </w:rPr>
      </w:pPr>
      <w:r>
        <w:rPr>
          <w:rFonts w:hint="eastAsia"/>
        </w:rPr>
        <w:t>采用层次分析法（AHP）或专家咨询法（德尔菲法）等方法确定各级指标的权重。</w:t>
      </w:r>
    </w:p>
    <w:p w14:paraId="683DE423">
      <w:pPr>
        <w:ind w:firstLine="560"/>
        <w:rPr>
          <w:rFonts w:hint="eastAsia"/>
        </w:rPr>
      </w:pPr>
      <w:r>
        <w:rPr>
          <w:rFonts w:hint="eastAsia"/>
          <w:lang w:eastAsia="zh-CN"/>
        </w:rPr>
        <w:t>（</w:t>
      </w:r>
      <w:r>
        <w:rPr>
          <w:rFonts w:hint="eastAsia"/>
          <w:lang w:val="en-US" w:eastAsia="zh-CN"/>
        </w:rPr>
        <w:t>3）</w:t>
      </w:r>
      <w:r>
        <w:rPr>
          <w:rFonts w:hint="eastAsia"/>
        </w:rPr>
        <w:t>综合评价模型</w:t>
      </w:r>
    </w:p>
    <w:p w14:paraId="730DD6A6">
      <w:pPr>
        <w:ind w:firstLine="560"/>
        <w:rPr>
          <w:rFonts w:hint="eastAsia"/>
        </w:rPr>
      </w:pPr>
      <w:r>
        <w:rPr>
          <w:rFonts w:hint="eastAsia"/>
        </w:rPr>
        <w:t>采用加权求和法计算综合得分。综合得分（S）按公式（1）计算：</w:t>
      </w:r>
    </w:p>
    <w:p w14:paraId="7A2AECEC">
      <w:pPr>
        <w:ind w:firstLine="560"/>
        <w:rPr>
          <w:rFonts w:hint="eastAsia"/>
        </w:rPr>
      </w:pPr>
      <w:r>
        <w:rPr>
          <w:rFonts w:hint="eastAsia"/>
        </w:rPr>
        <w:t>S=Σ(Wi×Xi) ..................................(1)               式中：</w:t>
      </w:r>
    </w:p>
    <w:p w14:paraId="18B13721">
      <w:pPr>
        <w:ind w:firstLine="560"/>
        <w:rPr>
          <w:rFonts w:hint="eastAsia"/>
        </w:rPr>
      </w:pPr>
      <w:r>
        <w:rPr>
          <w:rFonts w:hint="eastAsia"/>
        </w:rPr>
        <w:t>S—综合得分；</w:t>
      </w:r>
    </w:p>
    <w:p w14:paraId="2FA8861E">
      <w:pPr>
        <w:ind w:firstLine="560"/>
        <w:rPr>
          <w:rFonts w:hint="eastAsia"/>
        </w:rPr>
      </w:pPr>
      <w:r>
        <w:rPr>
          <w:rFonts w:hint="eastAsia"/>
        </w:rPr>
        <w:t>Wi—第i项指标的权重；</w:t>
      </w:r>
    </w:p>
    <w:p w14:paraId="34A4EA5D">
      <w:pPr>
        <w:ind w:firstLine="560"/>
        <w:rPr>
          <w:rFonts w:hint="eastAsia"/>
        </w:rPr>
      </w:pPr>
      <w:r>
        <w:rPr>
          <w:rFonts w:hint="eastAsia"/>
        </w:rPr>
        <w:t>Xi—第i项指标标准化后的分值。</w:t>
      </w:r>
    </w:p>
    <w:p w14:paraId="33A54663">
      <w:pPr>
        <w:ind w:firstLine="560"/>
        <w:rPr>
          <w:rFonts w:hint="eastAsia"/>
        </w:rPr>
      </w:pPr>
      <w:r>
        <w:rPr>
          <w:rFonts w:hint="eastAsia"/>
        </w:rPr>
        <w:t>3.</w:t>
      </w:r>
      <w:r>
        <w:t>经济合理性论证</w:t>
      </w:r>
      <w:r>
        <w:rPr>
          <w:rFonts w:ascii="Cambria Math" w:hAnsi="Cambria Math" w:cs="Cambria Math"/>
        </w:rPr>
        <w:t>​</w:t>
      </w:r>
    </w:p>
    <w:p w14:paraId="7105949B">
      <w:pPr>
        <w:ind w:firstLine="560"/>
        <w:rPr>
          <w:rFonts w:hint="eastAsia"/>
        </w:rPr>
      </w:pPr>
      <w:r>
        <w:rPr>
          <w:rFonts w:hint="eastAsia"/>
          <w:lang w:eastAsia="zh-CN"/>
        </w:rPr>
        <w:t>（</w:t>
      </w:r>
      <w:r>
        <w:rPr>
          <w:rFonts w:hint="eastAsia"/>
          <w:lang w:val="en-US" w:eastAsia="zh-CN"/>
        </w:rPr>
        <w:t>1）</w:t>
      </w:r>
      <w:r>
        <w:t>成本效益分析：</w:t>
      </w:r>
      <w:r>
        <w:rPr>
          <w:rFonts w:hint="eastAsia"/>
          <w:lang w:val="en-US" w:eastAsia="zh-CN"/>
        </w:rPr>
        <w:t>主要包含</w:t>
      </w:r>
      <w:r>
        <w:rPr>
          <w:rFonts w:hint="eastAsia"/>
        </w:rPr>
        <w:t>评价体系设计与优化费用（专家咨询、研讨）</w:t>
      </w:r>
      <w:r>
        <w:rPr>
          <w:rFonts w:hint="eastAsia"/>
          <w:lang w:eastAsia="zh-CN"/>
        </w:rPr>
        <w:t>；</w:t>
      </w:r>
      <w:r>
        <w:rPr>
          <w:rFonts w:hint="eastAsia"/>
        </w:rPr>
        <w:t>数据采集、核查与录入的人工成本</w:t>
      </w:r>
      <w:r>
        <w:rPr>
          <w:rFonts w:hint="eastAsia"/>
          <w:lang w:eastAsia="zh-CN"/>
        </w:rPr>
        <w:t>；</w:t>
      </w:r>
      <w:r>
        <w:rPr>
          <w:rFonts w:hint="eastAsia"/>
        </w:rPr>
        <w:t>定期评价分析与报告编制费用</w:t>
      </w:r>
      <w:r>
        <w:rPr>
          <w:rFonts w:hint="eastAsia"/>
          <w:lang w:eastAsia="zh-CN"/>
        </w:rPr>
        <w:t>；</w:t>
      </w:r>
      <w:r>
        <w:rPr>
          <w:rFonts w:hint="eastAsia"/>
        </w:rPr>
        <w:t>人员培训与交流费用。</w:t>
      </w:r>
    </w:p>
    <w:p w14:paraId="4E4BB9A6">
      <w:pPr>
        <w:ind w:firstLine="560"/>
        <w:rPr>
          <w:rFonts w:hint="eastAsia"/>
        </w:rPr>
      </w:pPr>
      <w:r>
        <w:rPr>
          <w:rFonts w:hint="eastAsia"/>
          <w:lang w:val="en-US" w:eastAsia="zh-CN"/>
        </w:rPr>
        <w:t>估算</w:t>
      </w:r>
      <w:r>
        <w:rPr>
          <w:rFonts w:hint="eastAsia"/>
        </w:rPr>
        <w:t>：以一个中型渔港经济区为例，初期投入约在50-100万元，年度运营成本约10-20万元。随着推广，单个经济区的成本将下降。</w:t>
      </w:r>
    </w:p>
    <w:p w14:paraId="727708F3">
      <w:pPr>
        <w:ind w:firstLine="560"/>
        <w:rPr>
          <w:rFonts w:hint="eastAsia"/>
        </w:rPr>
      </w:pPr>
      <w:r>
        <w:rPr>
          <w:rFonts w:hint="eastAsia"/>
          <w:lang w:eastAsia="zh-CN"/>
        </w:rPr>
        <w:t>（</w:t>
      </w:r>
      <w:r>
        <w:rPr>
          <w:rFonts w:hint="eastAsia"/>
          <w:lang w:val="en-US" w:eastAsia="zh-CN"/>
        </w:rPr>
        <w:t>2）产出</w:t>
      </w:r>
      <w:r>
        <w:rPr>
          <w:rFonts w:hint="eastAsia"/>
        </w:rPr>
        <w:t>效益分析：</w:t>
      </w:r>
    </w:p>
    <w:p w14:paraId="566FB082">
      <w:pPr>
        <w:ind w:firstLine="560"/>
        <w:rPr>
          <w:rFonts w:hint="eastAsia"/>
        </w:rPr>
      </w:pPr>
      <w:r>
        <w:rPr>
          <w:rFonts w:hint="eastAsia"/>
        </w:rPr>
        <w:t>避免投资浪费：通过精准识别短板，将有限资金投向“刀刃”项目（如某区根据评价关停了重复低效的冷库建设，转向物流配送系统）。</w:t>
      </w:r>
    </w:p>
    <w:p w14:paraId="199E4691">
      <w:pPr>
        <w:ind w:firstLine="560"/>
        <w:rPr>
          <w:rFonts w:hint="eastAsia"/>
        </w:rPr>
      </w:pPr>
      <w:r>
        <w:rPr>
          <w:rFonts w:hint="eastAsia"/>
        </w:rPr>
        <w:t>提升政策效能：使扶持政策从“撒胡椒面”变为“精准滴灌”。</w:t>
      </w:r>
    </w:p>
    <w:p w14:paraId="1D4A916D">
      <w:pPr>
        <w:ind w:firstLine="560"/>
        <w:rPr>
          <w:rFonts w:hint="eastAsia"/>
        </w:rPr>
      </w:pPr>
    </w:p>
    <w:p w14:paraId="5EA821FF">
      <w:pPr>
        <w:ind w:firstLine="560"/>
        <w:rPr>
          <w:rFonts w:hint="eastAsia"/>
        </w:rPr>
      </w:pPr>
      <w:r>
        <w:rPr>
          <w:rFonts w:hint="eastAsia"/>
        </w:rPr>
        <w:t>优化营商环境：清晰的评价标准能吸引目标明确的社会资本。</w:t>
      </w:r>
    </w:p>
    <w:p w14:paraId="35DFD99E">
      <w:pPr>
        <w:ind w:firstLine="560"/>
        <w:rPr>
          <w:rFonts w:hint="eastAsia"/>
        </w:rPr>
      </w:pPr>
      <w:r>
        <w:rPr>
          <w:rFonts w:hint="eastAsia"/>
        </w:rPr>
        <w:t>促进产业增值：引导产业融合与品牌建设，提升附加值（如休闲渔业收入提升）。</w:t>
      </w:r>
    </w:p>
    <w:p w14:paraId="69196D90">
      <w:pPr>
        <w:ind w:firstLine="560"/>
        <w:rPr>
          <w:rFonts w:hint="eastAsia"/>
        </w:rPr>
      </w:pPr>
      <w:r>
        <w:rPr>
          <w:rFonts w:hint="eastAsia"/>
        </w:rPr>
        <w:t>降低风险损失：强化安全与生态指标，避免重大安全事故或环境事件造成的巨额损失。</w:t>
      </w:r>
    </w:p>
    <w:p w14:paraId="6A4527EF">
      <w:pPr>
        <w:ind w:firstLine="560"/>
        <w:rPr>
          <w:rFonts w:hint="eastAsia"/>
        </w:rPr>
      </w:pPr>
      <w:r>
        <w:rPr>
          <w:rFonts w:hint="eastAsia"/>
        </w:rPr>
        <w:t>增强区域竞争力：高质量的发展形象成为招商引资和人才吸引的“金字招牌”。</w:t>
      </w:r>
    </w:p>
    <w:p w14:paraId="17EDE2A7">
      <w:pPr>
        <w:ind w:firstLine="560"/>
        <w:rPr>
          <w:rFonts w:hint="eastAsia"/>
        </w:rPr>
      </w:pPr>
      <w:r>
        <w:rPr>
          <w:rFonts w:hint="eastAsia"/>
        </w:rPr>
        <w:t>保障可持续性：保护渔业资源与生态环境，为子孙后代留下发展根基。</w:t>
      </w:r>
    </w:p>
    <w:p w14:paraId="43A9FBBE">
      <w:pPr>
        <w:pStyle w:val="3"/>
        <w:rPr>
          <w:rFonts w:hint="eastAsia"/>
        </w:rPr>
      </w:pPr>
      <w:bookmarkStart w:id="9" w:name="_Toc213929728"/>
      <w:r>
        <w:t>（二）预期效益</w:t>
      </w:r>
      <w:bookmarkEnd w:id="9"/>
    </w:p>
    <w:p w14:paraId="143BD5D9">
      <w:pPr>
        <w:ind w:firstLine="560"/>
        <w:rPr>
          <w:rFonts w:hint="eastAsia"/>
        </w:rPr>
      </w:pPr>
      <w:r>
        <w:rPr>
          <w:rFonts w:hint="eastAsia"/>
        </w:rPr>
        <w:t>该标准的制定与实施，不仅在技术层面提升</w:t>
      </w:r>
      <w:r>
        <w:rPr>
          <w:rFonts w:hint="eastAsia"/>
          <w:lang w:val="en-US" w:eastAsia="zh-CN"/>
        </w:rPr>
        <w:t>渔港经济区发展</w:t>
      </w:r>
      <w:r>
        <w:rPr>
          <w:rFonts w:hint="eastAsia"/>
        </w:rPr>
        <w:t>的科学化与规范化水平，也将在经济、社会与生态多方面产生显著的综合效益。</w:t>
      </w:r>
    </w:p>
    <w:p w14:paraId="2A5F0564">
      <w:pPr>
        <w:ind w:firstLine="560"/>
        <w:rPr>
          <w:rFonts w:hint="eastAsia"/>
        </w:rPr>
      </w:pPr>
      <w:r>
        <w:rPr>
          <w:rFonts w:hint="eastAsia"/>
        </w:rPr>
        <w:t>1. 经济效益</w:t>
      </w:r>
    </w:p>
    <w:p w14:paraId="07995A55">
      <w:pPr>
        <w:ind w:firstLine="560"/>
        <w:rPr>
          <w:rFonts w:hint="eastAsia"/>
        </w:rPr>
      </w:pPr>
      <w:r>
        <w:rPr>
          <w:rFonts w:hint="eastAsia"/>
        </w:rPr>
        <w:t>（1）引导投资方向，优化产业结构。</w:t>
      </w:r>
    </w:p>
    <w:p w14:paraId="4F490383">
      <w:pPr>
        <w:ind w:firstLine="560"/>
        <w:rPr>
          <w:rFonts w:hint="eastAsia"/>
        </w:rPr>
      </w:pPr>
      <w:r>
        <w:rPr>
          <w:rFonts w:hint="eastAsia"/>
        </w:rPr>
        <w:t>为市场主体提供清晰的、可信的评估依据。</w:t>
      </w:r>
    </w:p>
    <w:p w14:paraId="34C909D4">
      <w:pPr>
        <w:ind w:firstLine="560"/>
        <w:rPr>
          <w:rFonts w:hint="eastAsia"/>
        </w:rPr>
      </w:pPr>
      <w:r>
        <w:rPr>
          <w:rFonts w:hint="eastAsia"/>
        </w:rPr>
        <w:t>（2）避免重复建设和无效投资。</w:t>
      </w:r>
    </w:p>
    <w:p w14:paraId="500B5BD7">
      <w:pPr>
        <w:ind w:firstLine="560"/>
        <w:rPr>
          <w:rFonts w:hint="eastAsia"/>
        </w:rPr>
      </w:pPr>
      <w:r>
        <w:rPr>
          <w:rFonts w:hint="eastAsia"/>
          <w:lang w:val="en-US" w:eastAsia="zh-CN"/>
        </w:rPr>
        <w:t>本标准</w:t>
      </w:r>
      <w:r>
        <w:rPr>
          <w:rFonts w:hint="eastAsia"/>
        </w:rPr>
        <w:t>通过科学的预评价和过程监测，对规划项目的可行性和潜在风险进行早期识别。</w:t>
      </w:r>
    </w:p>
    <w:p w14:paraId="6382FD50">
      <w:pPr>
        <w:ind w:firstLine="560"/>
        <w:rPr>
          <w:rFonts w:hint="eastAsia"/>
        </w:rPr>
      </w:pPr>
      <w:r>
        <w:rPr>
          <w:rFonts w:hint="eastAsia"/>
        </w:rPr>
        <w:t>（3）提升行业治理现代化水平。</w:t>
      </w:r>
    </w:p>
    <w:p w14:paraId="12427ABB">
      <w:pPr>
        <w:ind w:firstLine="560"/>
        <w:rPr>
          <w:rFonts w:hint="eastAsia"/>
        </w:rPr>
      </w:pPr>
      <w:r>
        <w:rPr>
          <w:rFonts w:hint="eastAsia"/>
          <w:lang w:val="en-US" w:eastAsia="zh-CN"/>
        </w:rPr>
        <w:t>本标准通过</w:t>
      </w:r>
      <w:r>
        <w:rPr>
          <w:rFonts w:hint="eastAsia"/>
        </w:rPr>
        <w:t>提供精准的监管工具，推动管理方式从“经验主义”向“数据驱动”转变。</w:t>
      </w:r>
    </w:p>
    <w:p w14:paraId="77DD6791">
      <w:pPr>
        <w:ind w:firstLine="560"/>
        <w:rPr>
          <w:rFonts w:hint="eastAsia"/>
        </w:rPr>
      </w:pPr>
      <w:r>
        <w:rPr>
          <w:rFonts w:hint="eastAsia"/>
        </w:rPr>
        <w:t>2. 社会效益</w:t>
      </w:r>
    </w:p>
    <w:p w14:paraId="71B60E3E">
      <w:pPr>
        <w:ind w:firstLine="560"/>
        <w:rPr>
          <w:rFonts w:hint="eastAsia"/>
        </w:rPr>
      </w:pPr>
      <w:r>
        <w:rPr>
          <w:rFonts w:hint="eastAsia"/>
        </w:rPr>
        <w:t>（1）促进渔港经济区社会和谐稳定。</w:t>
      </w:r>
    </w:p>
    <w:p w14:paraId="615ED814">
      <w:pPr>
        <w:ind w:firstLine="560"/>
        <w:rPr>
          <w:rFonts w:hint="eastAsia"/>
        </w:rPr>
      </w:pPr>
      <w:r>
        <w:rPr>
          <w:rFonts w:hint="eastAsia"/>
        </w:rPr>
        <w:t>引导渔港经济区更好地履行社会责任，带动渔民就业增收。</w:t>
      </w:r>
    </w:p>
    <w:p w14:paraId="5696B7D9">
      <w:pPr>
        <w:ind w:firstLine="560"/>
        <w:rPr>
          <w:rFonts w:hint="eastAsia"/>
        </w:rPr>
      </w:pPr>
      <w:r>
        <w:rPr>
          <w:rFonts w:hint="eastAsia"/>
        </w:rPr>
        <w:t>（2）推动海洋生态文明建设。</w:t>
      </w:r>
    </w:p>
    <w:p w14:paraId="660FA0D8">
      <w:pPr>
        <w:ind w:firstLine="560"/>
        <w:rPr>
          <w:rFonts w:hint="eastAsia"/>
        </w:rPr>
      </w:pPr>
      <w:r>
        <w:rPr>
          <w:rFonts w:hint="eastAsia"/>
        </w:rPr>
        <w:t>通过设置严格的“资源环境”门槛和引导性指标，实现经济发展与环境保护的协同共进。</w:t>
      </w:r>
    </w:p>
    <w:p w14:paraId="3CC77A09">
      <w:pPr>
        <w:ind w:firstLine="560"/>
        <w:rPr>
          <w:rFonts w:hint="eastAsia"/>
        </w:rPr>
      </w:pPr>
      <w:r>
        <w:rPr>
          <w:rFonts w:hint="eastAsia"/>
        </w:rPr>
        <w:t>3. 生态效益</w:t>
      </w:r>
    </w:p>
    <w:p w14:paraId="13F7B587">
      <w:pPr>
        <w:ind w:firstLine="560"/>
        <w:rPr>
          <w:rFonts w:hint="eastAsia"/>
        </w:rPr>
      </w:pPr>
      <w:r>
        <w:rPr>
          <w:rFonts w:hint="eastAsia"/>
        </w:rPr>
        <w:t>（1）资源养护与可持续捕捞：</w:t>
      </w:r>
    </w:p>
    <w:p w14:paraId="7295A014">
      <w:pPr>
        <w:ind w:firstLine="560"/>
        <w:rPr>
          <w:rFonts w:hint="eastAsia"/>
        </w:rPr>
      </w:pPr>
      <w:r>
        <w:rPr>
          <w:rFonts w:hint="eastAsia"/>
          <w:lang w:val="en-US" w:eastAsia="zh-CN"/>
        </w:rPr>
        <w:t>通过对</w:t>
      </w:r>
      <w:r>
        <w:rPr>
          <w:rFonts w:hint="eastAsia"/>
        </w:rPr>
        <w:t>捕捞强度控制</w:t>
      </w:r>
      <w:r>
        <w:rPr>
          <w:rFonts w:hint="eastAsia"/>
          <w:lang w:eastAsia="zh-CN"/>
        </w:rPr>
        <w:t>、</w:t>
      </w:r>
      <w:r>
        <w:rPr>
          <w:rFonts w:hint="eastAsia"/>
        </w:rPr>
        <w:t>增殖养护行动</w:t>
      </w:r>
      <w:r>
        <w:rPr>
          <w:rFonts w:hint="eastAsia"/>
          <w:lang w:val="en-US" w:eastAsia="zh-CN"/>
        </w:rPr>
        <w:t>等，推进</w:t>
      </w:r>
      <w:r>
        <w:rPr>
          <w:rFonts w:hint="eastAsia"/>
        </w:rPr>
        <w:t>环境污染防治与减排。</w:t>
      </w:r>
    </w:p>
    <w:p w14:paraId="1490E931">
      <w:pPr>
        <w:ind w:firstLine="560"/>
        <w:rPr>
          <w:rFonts w:hint="eastAsia"/>
        </w:rPr>
      </w:pPr>
      <w:r>
        <w:rPr>
          <w:rFonts w:hint="eastAsia"/>
          <w:lang w:eastAsia="zh-CN"/>
        </w:rPr>
        <w:t>（</w:t>
      </w:r>
      <w:r>
        <w:rPr>
          <w:rFonts w:hint="eastAsia"/>
          <w:lang w:val="en-US" w:eastAsia="zh-CN"/>
        </w:rPr>
        <w:t>2）</w:t>
      </w:r>
      <w:r>
        <w:rPr>
          <w:rFonts w:hint="eastAsia"/>
        </w:rPr>
        <w:t>生态保护与修复：</w:t>
      </w:r>
    </w:p>
    <w:p w14:paraId="699F8098">
      <w:pPr>
        <w:ind w:firstLine="560"/>
        <w:rPr>
          <w:rFonts w:hint="eastAsia"/>
        </w:rPr>
      </w:pPr>
      <w:r>
        <w:rPr>
          <w:rFonts w:hint="eastAsia"/>
          <w:lang w:val="en-US" w:eastAsia="zh-CN"/>
        </w:rPr>
        <w:t>通过设置相关指标，增强</w:t>
      </w:r>
      <w:r>
        <w:rPr>
          <w:rFonts w:hint="eastAsia"/>
        </w:rPr>
        <w:t>生态空间保护</w:t>
      </w:r>
      <w:r>
        <w:rPr>
          <w:rFonts w:hint="eastAsia"/>
          <w:lang w:eastAsia="zh-CN"/>
        </w:rPr>
        <w:t>，</w:t>
      </w:r>
      <w:r>
        <w:rPr>
          <w:rFonts w:hint="eastAsia"/>
          <w:lang w:val="en-US" w:eastAsia="zh-CN"/>
        </w:rPr>
        <w:t>为未来分析</w:t>
      </w:r>
      <w:r>
        <w:rPr>
          <w:rFonts w:hint="eastAsia"/>
        </w:rPr>
        <w:t>工程建设对海洋生态的扰动程度及补偿措施</w:t>
      </w:r>
      <w:r>
        <w:rPr>
          <w:rFonts w:hint="eastAsia"/>
          <w:lang w:val="en-US" w:eastAsia="zh-CN"/>
        </w:rPr>
        <w:t>奠定基础</w:t>
      </w:r>
      <w:r>
        <w:rPr>
          <w:rFonts w:hint="eastAsia"/>
        </w:rPr>
        <w:t>。</w:t>
      </w:r>
    </w:p>
    <w:p w14:paraId="055AB942">
      <w:pPr>
        <w:ind w:firstLine="560"/>
        <w:rPr>
          <w:rFonts w:hint="eastAsia"/>
        </w:rPr>
      </w:pPr>
      <w:r>
        <w:rPr>
          <w:rFonts w:hint="eastAsia"/>
          <w:lang w:eastAsia="zh-CN"/>
        </w:rPr>
        <w:t>（</w:t>
      </w:r>
      <w:r>
        <w:rPr>
          <w:rFonts w:hint="eastAsia"/>
          <w:lang w:val="en-US" w:eastAsia="zh-CN"/>
        </w:rPr>
        <w:t>3）</w:t>
      </w:r>
      <w:r>
        <w:rPr>
          <w:rFonts w:hint="eastAsia"/>
        </w:rPr>
        <w:t>低碳与循环发展：</w:t>
      </w:r>
    </w:p>
    <w:p w14:paraId="4489E6D5">
      <w:pPr>
        <w:ind w:firstLine="560"/>
        <w:rPr>
          <w:rFonts w:hint="eastAsia"/>
        </w:rPr>
      </w:pPr>
      <w:r>
        <w:rPr>
          <w:rFonts w:hint="eastAsia"/>
          <w:lang w:val="en-US" w:eastAsia="zh-CN"/>
        </w:rPr>
        <w:t>通过设置</w:t>
      </w:r>
      <w:r>
        <w:rPr>
          <w:rFonts w:hint="eastAsia"/>
        </w:rPr>
        <w:t>万元产值综合能耗、碳排放强度</w:t>
      </w:r>
      <w:r>
        <w:rPr>
          <w:rFonts w:hint="eastAsia"/>
          <w:lang w:val="en-US" w:eastAsia="zh-CN"/>
        </w:rPr>
        <w:t>等</w:t>
      </w:r>
      <w:r>
        <w:rPr>
          <w:rFonts w:hint="eastAsia"/>
        </w:rPr>
        <w:t>节能减排</w:t>
      </w:r>
      <w:r>
        <w:rPr>
          <w:rFonts w:hint="eastAsia"/>
          <w:lang w:val="en-US" w:eastAsia="zh-CN"/>
        </w:rPr>
        <w:t>指标，提高绿色低碳发展水平，促进循环发展</w:t>
      </w:r>
      <w:r>
        <w:rPr>
          <w:rFonts w:hint="eastAsia"/>
        </w:rPr>
        <w:t>。</w:t>
      </w:r>
    </w:p>
    <w:p w14:paraId="5F4D7020">
      <w:pPr>
        <w:pStyle w:val="2"/>
        <w:rPr>
          <w:rFonts w:hint="eastAsia"/>
        </w:rPr>
      </w:pPr>
      <w:bookmarkStart w:id="10" w:name="_Toc213929729"/>
      <w:r>
        <w:rPr>
          <w:rFonts w:hint="eastAsia"/>
        </w:rPr>
        <w:t>四、</w:t>
      </w:r>
      <w:r>
        <w:t>与国际、国外同类标准技术内容的对比情况，或者与测试的国外样品、样机有关数据的对比情况；</w:t>
      </w:r>
      <w:bookmarkEnd w:id="10"/>
    </w:p>
    <w:p w14:paraId="0348C009">
      <w:pPr>
        <w:ind w:firstLine="560"/>
        <w:rPr>
          <w:rFonts w:hint="eastAsia"/>
        </w:rPr>
      </w:pPr>
      <w:r>
        <w:rPr>
          <w:rFonts w:hint="eastAsia"/>
        </w:rPr>
        <w:t>目前全球范围内尚无一个统一的、可直接对标的“渔港经济区发展质量评价”国际标准。主要是因为渔港经济区的发展模式具有很强的国家政策驱动性和地域复合性，它融合了港口管理、渔业经济、社区发展和区域规划等多个领域。</w:t>
      </w:r>
      <w:bookmarkStart w:id="11" w:name="_Toc213929730"/>
    </w:p>
    <w:p w14:paraId="5A97C961">
      <w:pPr>
        <w:ind w:firstLine="560"/>
        <w:rPr>
          <w:rFonts w:hint="eastAsia"/>
        </w:rPr>
      </w:pPr>
      <w:r>
        <w:rPr>
          <w:rFonts w:hint="eastAsia"/>
        </w:rPr>
        <w:t>（一） 国际相关技术与项目概况</w:t>
      </w:r>
      <w:bookmarkEnd w:id="11"/>
    </w:p>
    <w:p w14:paraId="53D08ABF">
      <w:pPr>
        <w:keepNext/>
        <w:keepLines/>
        <w:pageBreakBefore w:val="0"/>
        <w:widowControl w:val="0"/>
        <w:kinsoku/>
        <w:wordWrap/>
        <w:overflowPunct/>
        <w:topLinePunct w:val="0"/>
        <w:autoSpaceDE/>
        <w:autoSpaceDN/>
        <w:bidi w:val="0"/>
        <w:adjustRightInd/>
        <w:snapToGrid/>
        <w:ind w:firstLine="560" w:firstLineChars="200"/>
        <w:textAlignment w:val="auto"/>
        <w:outlineLvl w:val="9"/>
        <w:rPr>
          <w:rFonts w:hint="eastAsia" w:cs="宋体" w:asciiTheme="minorEastAsia" w:hAnsiTheme="minorEastAsia" w:eastAsiaTheme="minorEastAsia"/>
          <w:b w:val="0"/>
          <w:bCs w:val="0"/>
          <w:sz w:val="28"/>
          <w:szCs w:val="24"/>
          <w:lang w:val="en-US" w:eastAsia="zh-CN" w:bidi="ar-SA"/>
        </w:rPr>
      </w:pPr>
      <w:bookmarkStart w:id="12" w:name="_Toc213929731"/>
      <w:r>
        <w:rPr>
          <w:rFonts w:hint="eastAsia" w:cs="宋体" w:asciiTheme="minorEastAsia" w:hAnsiTheme="minorEastAsia" w:eastAsiaTheme="minorEastAsia"/>
          <w:b w:val="0"/>
          <w:bCs w:val="0"/>
          <w:sz w:val="28"/>
          <w:szCs w:val="24"/>
          <w:lang w:val="en-US" w:eastAsia="zh-CN" w:bidi="ar-SA"/>
        </w:rPr>
        <w:t>国际上在“可持续渔业”“负责任港口”“蓝色经济”和“滨海区域综合管理”等领域存在一系列被广泛认可的准则、认证体系和评估框架。</w:t>
      </w:r>
    </w:p>
    <w:p w14:paraId="09434C5A">
      <w:pPr>
        <w:keepNext/>
        <w:keepLines/>
        <w:pageBreakBefore w:val="0"/>
        <w:widowControl w:val="0"/>
        <w:kinsoku/>
        <w:wordWrap/>
        <w:overflowPunct/>
        <w:topLinePunct w:val="0"/>
        <w:autoSpaceDE/>
        <w:autoSpaceDN/>
        <w:bidi w:val="0"/>
        <w:adjustRightInd/>
        <w:snapToGrid/>
        <w:ind w:firstLine="560" w:firstLineChars="200"/>
        <w:textAlignment w:val="auto"/>
        <w:outlineLvl w:val="9"/>
        <w:rPr>
          <w:rFonts w:hint="eastAsia" w:cs="宋体" w:asciiTheme="minorEastAsia" w:hAnsiTheme="minorEastAsia" w:eastAsiaTheme="minorEastAsia"/>
          <w:b w:val="0"/>
          <w:bCs w:val="0"/>
          <w:sz w:val="28"/>
          <w:szCs w:val="24"/>
          <w:lang w:val="en-US" w:eastAsia="zh-CN" w:bidi="ar-SA"/>
        </w:rPr>
      </w:pPr>
      <w:r>
        <w:rPr>
          <w:rFonts w:hint="eastAsia" w:cs="宋体" w:asciiTheme="minorEastAsia" w:hAnsiTheme="minorEastAsia" w:eastAsiaTheme="minorEastAsia"/>
          <w:b w:val="0"/>
          <w:bCs w:val="0"/>
          <w:sz w:val="28"/>
          <w:szCs w:val="24"/>
          <w:lang w:val="en-US" w:eastAsia="zh-CN" w:bidi="ar-SA"/>
        </w:rPr>
        <w:t>1.联合国可持续发展目标：SDG8（体面工作与经济增长）、SDG9（产业创新和基础设施）、SDG12（负责任消费和生产）。</w:t>
      </w:r>
    </w:p>
    <w:p w14:paraId="4666B72E">
      <w:pPr>
        <w:keepNext/>
        <w:keepLines/>
        <w:pageBreakBefore w:val="0"/>
        <w:widowControl w:val="0"/>
        <w:kinsoku/>
        <w:wordWrap/>
        <w:overflowPunct/>
        <w:topLinePunct w:val="0"/>
        <w:autoSpaceDE/>
        <w:autoSpaceDN/>
        <w:bidi w:val="0"/>
        <w:adjustRightInd/>
        <w:snapToGrid/>
        <w:ind w:firstLine="560" w:firstLineChars="200"/>
        <w:textAlignment w:val="auto"/>
        <w:outlineLvl w:val="9"/>
        <w:rPr>
          <w:rFonts w:hint="eastAsia" w:cs="宋体" w:asciiTheme="minorEastAsia" w:hAnsiTheme="minorEastAsia" w:eastAsiaTheme="minorEastAsia"/>
          <w:b w:val="0"/>
          <w:bCs w:val="0"/>
          <w:sz w:val="28"/>
          <w:szCs w:val="24"/>
          <w:lang w:val="en-US" w:eastAsia="zh-CN" w:bidi="ar-SA"/>
        </w:rPr>
      </w:pPr>
      <w:r>
        <w:rPr>
          <w:rFonts w:hint="eastAsia" w:cs="宋体" w:asciiTheme="minorEastAsia" w:hAnsiTheme="minorEastAsia" w:eastAsiaTheme="minorEastAsia"/>
          <w:b w:val="0"/>
          <w:bCs w:val="0"/>
          <w:sz w:val="28"/>
          <w:szCs w:val="24"/>
          <w:lang w:val="en-US" w:eastAsia="zh-CN" w:bidi="ar-SA"/>
        </w:rPr>
        <w:t>2.联合国粮农组织《负责任渔业行为守则》：对渔业资源养护和管理的要求被内化到生态效益指标中。</w:t>
      </w:r>
    </w:p>
    <w:p w14:paraId="073358CA">
      <w:pPr>
        <w:keepNext/>
        <w:keepLines/>
        <w:pageBreakBefore w:val="0"/>
        <w:widowControl w:val="0"/>
        <w:kinsoku/>
        <w:wordWrap/>
        <w:overflowPunct/>
        <w:topLinePunct w:val="0"/>
        <w:autoSpaceDE/>
        <w:autoSpaceDN/>
        <w:bidi w:val="0"/>
        <w:adjustRightInd/>
        <w:snapToGrid/>
        <w:ind w:firstLine="560" w:firstLineChars="200"/>
        <w:textAlignment w:val="auto"/>
        <w:outlineLvl w:val="9"/>
        <w:rPr>
          <w:rFonts w:hint="eastAsia" w:cs="宋体" w:asciiTheme="minorEastAsia" w:hAnsiTheme="minorEastAsia" w:eastAsiaTheme="minorEastAsia"/>
          <w:b w:val="0"/>
          <w:bCs w:val="0"/>
          <w:sz w:val="28"/>
          <w:szCs w:val="24"/>
          <w:lang w:val="en-US" w:eastAsia="zh-CN" w:bidi="ar-SA"/>
        </w:rPr>
      </w:pPr>
      <w:r>
        <w:rPr>
          <w:rFonts w:hint="eastAsia" w:cs="宋体" w:asciiTheme="minorEastAsia" w:hAnsiTheme="minorEastAsia" w:eastAsiaTheme="minorEastAsia"/>
          <w:b w:val="0"/>
          <w:bCs w:val="0"/>
          <w:sz w:val="28"/>
          <w:szCs w:val="24"/>
          <w:lang w:val="en-US" w:eastAsia="zh-CN" w:bidi="ar-SA"/>
        </w:rPr>
        <w:t>3.绿色港口/生态港倡议：如欧洲的“绿色港口”政策、美国的“环境船舶指数”，其环境管理要求被借鉴到港口污染防治和低碳指标中。</w:t>
      </w:r>
    </w:p>
    <w:p w14:paraId="0C8CFFC7">
      <w:pPr>
        <w:keepNext/>
        <w:keepLines/>
        <w:pageBreakBefore w:val="0"/>
        <w:widowControl w:val="0"/>
        <w:kinsoku/>
        <w:wordWrap/>
        <w:overflowPunct/>
        <w:topLinePunct w:val="0"/>
        <w:autoSpaceDE/>
        <w:autoSpaceDN/>
        <w:bidi w:val="0"/>
        <w:adjustRightInd/>
        <w:snapToGrid/>
        <w:ind w:firstLine="560" w:firstLineChars="200"/>
        <w:textAlignment w:val="auto"/>
        <w:outlineLvl w:val="9"/>
        <w:rPr>
          <w:rFonts w:hint="eastAsia" w:cs="宋体" w:asciiTheme="minorEastAsia" w:hAnsiTheme="minorEastAsia" w:eastAsiaTheme="minorEastAsia"/>
          <w:b w:val="0"/>
          <w:bCs w:val="0"/>
          <w:sz w:val="28"/>
          <w:szCs w:val="24"/>
          <w:lang w:val="en-US" w:eastAsia="zh-CN" w:bidi="ar-SA"/>
        </w:rPr>
      </w:pPr>
      <w:r>
        <w:rPr>
          <w:rFonts w:hint="eastAsia" w:cs="宋体" w:asciiTheme="minorEastAsia" w:hAnsiTheme="minorEastAsia" w:eastAsiaTheme="minorEastAsia"/>
          <w:b w:val="0"/>
          <w:bCs w:val="0"/>
          <w:sz w:val="28"/>
          <w:szCs w:val="24"/>
          <w:lang w:val="en-US" w:eastAsia="zh-CN" w:bidi="ar-SA"/>
        </w:rPr>
        <w:t>4.海洋管理委员会认证：其对于渔业资源可持续性和生态系统影响的严格标准，是生态指标设定的重要参考。</w:t>
      </w:r>
    </w:p>
    <w:p w14:paraId="017B2F25">
      <w:pPr>
        <w:pStyle w:val="3"/>
        <w:rPr>
          <w:rFonts w:hint="eastAsia"/>
        </w:rPr>
      </w:pPr>
      <w:r>
        <w:rPr>
          <w:rFonts w:hint="eastAsia"/>
        </w:rPr>
        <w:t>（二）.与国外技术的对比分析</w:t>
      </w:r>
      <w:bookmarkEnd w:id="12"/>
    </w:p>
    <w:p w14:paraId="52109A50">
      <w:pPr>
        <w:ind w:firstLine="560"/>
        <w:rPr>
          <w:rFonts w:hint="eastAsia"/>
        </w:rPr>
      </w:pPr>
      <w:r>
        <w:rPr>
          <w:rFonts w:hint="eastAsia"/>
          <w:lang w:val="en-US" w:eastAsia="zh-CN"/>
        </w:rPr>
        <w:t>本标准与国际上的相关认识</w:t>
      </w:r>
      <w:r>
        <w:rPr>
          <w:rFonts w:hint="eastAsia"/>
        </w:rPr>
        <w:t>既有共通理念，也体现了中国特色。</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5"/>
        <w:gridCol w:w="3364"/>
        <w:gridCol w:w="3043"/>
      </w:tblGrid>
      <w:tr w14:paraId="3A85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Pr>
          <w:p w14:paraId="1571C6D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Theme="minorEastAsia"/>
                <w:b/>
                <w:bCs/>
                <w:vertAlign w:val="baseline"/>
                <w:lang w:val="en-US" w:eastAsia="zh-CN"/>
              </w:rPr>
            </w:pPr>
            <w:r>
              <w:rPr>
                <w:rFonts w:hint="eastAsia"/>
                <w:b/>
                <w:bCs/>
                <w:vertAlign w:val="baseline"/>
                <w:lang w:val="en-US" w:eastAsia="zh-CN"/>
              </w:rPr>
              <w:t>对比纬度</w:t>
            </w:r>
          </w:p>
        </w:tc>
        <w:tc>
          <w:tcPr>
            <w:tcW w:w="3364" w:type="dxa"/>
          </w:tcPr>
          <w:p w14:paraId="07048D5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Theme="minorEastAsia"/>
                <w:b/>
                <w:bCs/>
                <w:vertAlign w:val="baseline"/>
                <w:lang w:val="en-US" w:eastAsia="zh-CN"/>
              </w:rPr>
            </w:pPr>
            <w:r>
              <w:rPr>
                <w:rFonts w:hint="eastAsia"/>
                <w:b/>
                <w:bCs/>
                <w:vertAlign w:val="baseline"/>
                <w:lang w:val="en-US" w:eastAsia="zh-CN"/>
              </w:rPr>
              <w:t>本标准</w:t>
            </w:r>
          </w:p>
        </w:tc>
        <w:tc>
          <w:tcPr>
            <w:tcW w:w="3043" w:type="dxa"/>
          </w:tcPr>
          <w:p w14:paraId="711EE91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b/>
                <w:bCs/>
                <w:vertAlign w:val="baseline"/>
              </w:rPr>
            </w:pPr>
            <w:r>
              <w:rPr>
                <w:rFonts w:hint="eastAsia"/>
                <w:b/>
                <w:bCs/>
                <w:vertAlign w:val="baseline"/>
              </w:rPr>
              <w:t>国际相关参考框架与标准</w:t>
            </w:r>
          </w:p>
        </w:tc>
      </w:tr>
      <w:tr w14:paraId="72EE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Pr>
          <w:p w14:paraId="59054BC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vertAlign w:val="baseline"/>
              </w:rPr>
            </w:pPr>
            <w:r>
              <w:rPr>
                <w:rFonts w:hint="eastAsia"/>
                <w:vertAlign w:val="baseline"/>
                <w:lang w:val="en-US" w:eastAsia="zh-CN"/>
              </w:rPr>
              <w:t>核心理念</w:t>
            </w:r>
          </w:p>
        </w:tc>
        <w:tc>
          <w:tcPr>
            <w:tcW w:w="3364" w:type="dxa"/>
          </w:tcPr>
          <w:p w14:paraId="071F25ED">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vertAlign w:val="baseline"/>
              </w:rPr>
            </w:pPr>
            <w:r>
              <w:rPr>
                <w:rFonts w:hint="eastAsia"/>
                <w:vertAlign w:val="baseline"/>
              </w:rPr>
              <w:t>综合性高质量发展：统筹经济、社会、生态、安全、治理，服务于乡村振兴和海洋强国国家战略。</w:t>
            </w:r>
          </w:p>
        </w:tc>
        <w:tc>
          <w:tcPr>
            <w:tcW w:w="3043" w:type="dxa"/>
          </w:tcPr>
          <w:p w14:paraId="232F0BD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vertAlign w:val="baseline"/>
              </w:rPr>
            </w:pPr>
            <w:r>
              <w:rPr>
                <w:rFonts w:hint="eastAsia"/>
                <w:vertAlign w:val="baseline"/>
              </w:rPr>
              <w:t>可持续性与负责任：侧重于资源可持续利用、生态保护、社会责任和良好治理。</w:t>
            </w:r>
          </w:p>
        </w:tc>
      </w:tr>
      <w:tr w14:paraId="71F1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Pr>
          <w:p w14:paraId="6E55003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vertAlign w:val="baseline"/>
              </w:rPr>
            </w:pPr>
            <w:r>
              <w:rPr>
                <w:rFonts w:hint="eastAsia"/>
                <w:vertAlign w:val="baseline"/>
              </w:rPr>
              <w:t>评价范围</w:t>
            </w:r>
          </w:p>
        </w:tc>
        <w:tc>
          <w:tcPr>
            <w:tcW w:w="3364" w:type="dxa"/>
          </w:tcPr>
          <w:p w14:paraId="0922DD4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vertAlign w:val="baseline"/>
              </w:rPr>
            </w:pPr>
            <w:r>
              <w:rPr>
                <w:rFonts w:hint="eastAsia"/>
                <w:vertAlign w:val="baseline"/>
              </w:rPr>
              <w:t>高度复合：涵盖“港、产、城、人、文”全要素，是一个区域经济综合体评价。</w:t>
            </w:r>
          </w:p>
        </w:tc>
        <w:tc>
          <w:tcPr>
            <w:tcW w:w="3043" w:type="dxa"/>
          </w:tcPr>
          <w:p w14:paraId="43929A3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vertAlign w:val="baseline"/>
              </w:rPr>
            </w:pPr>
            <w:r>
              <w:rPr>
                <w:rFonts w:hint="eastAsia"/>
                <w:vertAlign w:val="baseline"/>
              </w:rPr>
              <w:t>相对聚焦：通常聚焦于单一链条或特定领域（如渔业捕捞、港口环境、社区发展）。</w:t>
            </w:r>
          </w:p>
        </w:tc>
      </w:tr>
    </w:tbl>
    <w:p w14:paraId="5A08B435">
      <w:pPr>
        <w:pStyle w:val="2"/>
        <w:rPr>
          <w:rFonts w:hint="eastAsia"/>
        </w:rPr>
      </w:pPr>
      <w:bookmarkStart w:id="13" w:name="_Toc213929732"/>
      <w:r>
        <w:rPr>
          <w:rFonts w:hint="eastAsia"/>
        </w:rPr>
        <w:t>五、</w:t>
      </w:r>
      <w:r>
        <w:t>以国际标准或国外先进标准为基础起草的团体标准，说明是否合规引用或采用</w:t>
      </w:r>
      <w:bookmarkEnd w:id="13"/>
    </w:p>
    <w:p w14:paraId="489EF5C5">
      <w:pPr>
        <w:ind w:firstLine="560"/>
        <w:rPr>
          <w:rFonts w:hint="eastAsia"/>
        </w:rPr>
      </w:pPr>
      <w:r>
        <w:t>经系统调研与比对，本标准在起草过程中未直接采用或全文引用国际标准或国外先进标准。主要原因在于：目前国际上尚无针对“</w:t>
      </w:r>
      <w:r>
        <w:rPr>
          <w:rFonts w:hint="eastAsia"/>
          <w:lang w:val="en-US" w:eastAsia="zh-CN"/>
        </w:rPr>
        <w:t>渔港经济区</w:t>
      </w:r>
      <w:r>
        <w:t>”这一特定场景的系统性技术标准或工程导则，现有的国际文件多为</w:t>
      </w:r>
      <w:r>
        <w:rPr>
          <w:rFonts w:hint="eastAsia"/>
          <w:lang w:val="en-US" w:eastAsia="zh-CN"/>
        </w:rPr>
        <w:t>聚焦某一特定领域，如港口、渔业的</w:t>
      </w:r>
      <w:r>
        <w:t>指南或政策性指导文件，缺乏可直接用于</w:t>
      </w:r>
      <w:r>
        <w:rPr>
          <w:rFonts w:hint="eastAsia"/>
          <w:lang w:val="en-US" w:eastAsia="zh-CN"/>
        </w:rPr>
        <w:t>渔港经济区发展</w:t>
      </w:r>
      <w:r>
        <w:t>的技术细则。</w:t>
      </w:r>
    </w:p>
    <w:p w14:paraId="684AC233">
      <w:pPr>
        <w:pStyle w:val="2"/>
        <w:rPr>
          <w:rFonts w:hint="eastAsia"/>
        </w:rPr>
      </w:pPr>
      <w:bookmarkStart w:id="14" w:name="_Toc213929733"/>
      <w:r>
        <w:rPr>
          <w:rFonts w:hint="eastAsia"/>
        </w:rPr>
        <w:t>六、</w:t>
      </w:r>
      <w:r>
        <w:t>与相关法律、行政法规及相关标准的关系</w:t>
      </w:r>
      <w:bookmarkEnd w:id="14"/>
    </w:p>
    <w:p w14:paraId="277CAABA">
      <w:pPr>
        <w:ind w:firstLine="560"/>
        <w:rPr>
          <w:rFonts w:hint="eastAsia"/>
        </w:rPr>
      </w:pPr>
      <w:r>
        <w:t>制定严格遵循《中华人民共和国标准化法》</w:t>
      </w:r>
      <w:r>
        <w:rPr>
          <w:rFonts w:hint="eastAsia"/>
        </w:rPr>
        <w:t>和</w:t>
      </w:r>
      <w:r>
        <w:t>国家有关</w:t>
      </w:r>
      <w:r>
        <w:rPr>
          <w:rFonts w:hint="eastAsia"/>
          <w:lang w:val="en-US" w:eastAsia="zh-CN"/>
        </w:rPr>
        <w:t>渔港经济区建设</w:t>
      </w:r>
      <w:r>
        <w:t>管理等法律、行政法规和政策文件的要求，与现行国家标准、行业标准及地方标准体系相互衔接、协调配套、互为补充。</w:t>
      </w:r>
    </w:p>
    <w:p w14:paraId="63987854">
      <w:pPr>
        <w:ind w:firstLine="560"/>
        <w:rPr>
          <w:rFonts w:hint="eastAsia"/>
        </w:rPr>
      </w:pPr>
      <w:r>
        <w:t>经检索，关联性比较大的文件有：</w:t>
      </w:r>
    </w:p>
    <w:p w14:paraId="0C5C98B5">
      <w:pPr>
        <w:ind w:firstLine="560"/>
        <w:rPr>
          <w:rFonts w:hint="eastAsia"/>
        </w:rPr>
      </w:pPr>
      <w:r>
        <w:t>1.</w:t>
      </w:r>
      <w:r>
        <w:rPr>
          <w:rFonts w:hint="eastAsia"/>
        </w:rPr>
        <w:t>《</w:t>
      </w:r>
      <w:r>
        <w:rPr>
          <w:rFonts w:hint="eastAsia"/>
          <w:lang w:val="en-US" w:eastAsia="zh-CN"/>
        </w:rPr>
        <w:t>渔港总体设计规范</w:t>
      </w:r>
      <w:r>
        <w:rPr>
          <w:rFonts w:hint="eastAsia"/>
        </w:rPr>
        <w:t>》（</w:t>
      </w:r>
      <w:r>
        <w:t>GB/T</w:t>
      </w:r>
      <w:r>
        <w:rPr>
          <w:rFonts w:hint="eastAsia"/>
          <w:lang w:val="en-US" w:eastAsia="zh-CN"/>
        </w:rPr>
        <w:t>9010</w:t>
      </w:r>
      <w:r>
        <w:t>-20</w:t>
      </w:r>
      <w:r>
        <w:rPr>
          <w:rFonts w:hint="eastAsia"/>
          <w:lang w:val="en-US" w:eastAsia="zh-CN"/>
        </w:rPr>
        <w:t>00</w:t>
      </w:r>
      <w:r>
        <w:rPr>
          <w:rFonts w:hint="eastAsia"/>
        </w:rPr>
        <w:t>）、</w:t>
      </w:r>
      <w:r>
        <w:t>《</w:t>
      </w:r>
      <w:r>
        <w:rPr>
          <w:rFonts w:hint="eastAsia"/>
        </w:rPr>
        <w:t>近岸海域环境</w:t>
      </w:r>
      <w:r>
        <w:rPr>
          <w:rFonts w:hint="eastAsia"/>
          <w:lang w:val="en-US" w:eastAsia="zh-CN"/>
        </w:rPr>
        <w:t>监测</w:t>
      </w:r>
      <w:r>
        <w:rPr>
          <w:rFonts w:hint="eastAsia"/>
        </w:rPr>
        <w:t>规范</w:t>
      </w:r>
      <w:r>
        <w:t>》</w:t>
      </w:r>
      <w:r>
        <w:rPr>
          <w:rFonts w:hint="eastAsia"/>
        </w:rPr>
        <w:t>（H</w:t>
      </w:r>
      <w:r>
        <w:rPr>
          <w:rFonts w:hint="eastAsia"/>
          <w:lang w:val="en-US" w:eastAsia="zh-CN"/>
        </w:rPr>
        <w:t>J</w:t>
      </w:r>
      <w:r>
        <w:rPr>
          <w:rFonts w:hint="eastAsia"/>
        </w:rPr>
        <w:t xml:space="preserve"> </w:t>
      </w:r>
      <w:r>
        <w:rPr>
          <w:rFonts w:hint="eastAsia"/>
          <w:lang w:val="en-US" w:eastAsia="zh-CN"/>
        </w:rPr>
        <w:t>442</w:t>
      </w:r>
      <w:r>
        <w:rPr>
          <w:rFonts w:hint="eastAsia"/>
        </w:rPr>
        <w:t>-200</w:t>
      </w:r>
      <w:r>
        <w:rPr>
          <w:rFonts w:hint="eastAsia"/>
          <w:lang w:val="en-US" w:eastAsia="zh-CN"/>
        </w:rPr>
        <w:t>8</w:t>
      </w:r>
      <w:r>
        <w:rPr>
          <w:rFonts w:hint="eastAsia"/>
        </w:rPr>
        <w:t>）</w:t>
      </w:r>
      <w:r>
        <w:t>，</w:t>
      </w:r>
      <w:r>
        <w:rPr>
          <w:rFonts w:hint="eastAsia"/>
        </w:rPr>
        <w:t>本标准在</w:t>
      </w:r>
      <w:r>
        <w:rPr>
          <w:rFonts w:hint="eastAsia"/>
          <w:lang w:val="en-US" w:eastAsia="zh-CN"/>
        </w:rPr>
        <w:t>对渔港经济区的分类界定及对具体指标设计</w:t>
      </w:r>
      <w:r>
        <w:rPr>
          <w:rFonts w:hint="eastAsia"/>
        </w:rPr>
        <w:t>中，引用了这些规范的监测原则与技术要求，。</w:t>
      </w:r>
    </w:p>
    <w:p w14:paraId="23891486">
      <w:pPr>
        <w:ind w:firstLine="560"/>
        <w:rPr>
          <w:rFonts w:hint="eastAsia"/>
        </w:rPr>
      </w:pPr>
      <w:r>
        <w:t>2.</w:t>
      </w:r>
      <w:r>
        <w:rPr>
          <w:rFonts w:hint="eastAsia"/>
        </w:rPr>
        <w:t>《中华人民共和国统计法</w:t>
      </w:r>
      <w:r>
        <w:t>》</w:t>
      </w:r>
      <w:r>
        <w:rPr>
          <w:rFonts w:hint="eastAsia"/>
        </w:rPr>
        <w:t>。</w:t>
      </w:r>
      <w:r>
        <w:t>本标准的</w:t>
      </w:r>
      <w:r>
        <w:rPr>
          <w:rFonts w:hint="eastAsia"/>
        </w:rPr>
        <w:t>基础法律保障</w:t>
      </w:r>
      <w:r>
        <w:t>，</w:t>
      </w:r>
      <w:r>
        <w:rPr>
          <w:rFonts w:hint="eastAsia"/>
        </w:rPr>
        <w:t>确保评价工作合法合规、数据真实。为数据采集、处理、发布的全过程提供法律准绳，要求建立规范、统一的统计制度，杜绝数据造假。</w:t>
      </w:r>
    </w:p>
    <w:p w14:paraId="0D90BD00">
      <w:pPr>
        <w:ind w:firstLine="560"/>
        <w:rPr>
          <w:rFonts w:hint="eastAsia"/>
        </w:rPr>
      </w:pPr>
      <w:r>
        <w:t>3.《</w:t>
      </w:r>
      <w:r>
        <w:rPr>
          <w:rFonts w:hint="eastAsia"/>
        </w:rPr>
        <w:t>“十四五”全国渔业发展规划</w:t>
      </w:r>
      <w:r>
        <w:t>》</w:t>
      </w:r>
      <w:r>
        <w:rPr>
          <w:rFonts w:hint="eastAsia"/>
        </w:rPr>
        <w:t>。</w:t>
      </w:r>
      <w:r>
        <w:rPr>
          <w:rFonts w:hint="eastAsia"/>
          <w:lang w:val="en-US" w:eastAsia="zh-CN"/>
        </w:rPr>
        <w:t>为</w:t>
      </w:r>
      <w:r>
        <w:t>本标准</w:t>
      </w:r>
      <w:r>
        <w:rPr>
          <w:rFonts w:hint="eastAsia"/>
        </w:rPr>
        <w:t>提供评价的总体方向与核心目标。文件中关于“推进产业融合发展”“强化渔业科技装备支撑”“持续改善渔业生态环境”等任务，直接转化为经济发展、科技创新、生态保护等维度的关键评价指标</w:t>
      </w:r>
      <w:r>
        <w:t>。</w:t>
      </w:r>
    </w:p>
    <w:p w14:paraId="1BD46DA2">
      <w:pPr>
        <w:ind w:firstLine="560"/>
        <w:rPr>
          <w:rFonts w:hint="eastAsia"/>
        </w:rPr>
      </w:pPr>
      <w:r>
        <w:rPr>
          <w:rFonts w:hint="eastAsia"/>
        </w:rPr>
        <w:t>4.《全国沿海渔港建设规划（2018-2025年》。是本标准评价渔港基础设施与空间布局质量的直接对标蓝图。规划中提出的“建设中心渔港64座、一级渔港85座”等布局目标，以及“推动渔港升级改造”等任务，是评价港口等级、功能完善度和区域协同性的核心依据。</w:t>
      </w:r>
    </w:p>
    <w:p w14:paraId="12FA5EB0">
      <w:pPr>
        <w:ind w:firstLine="560"/>
        <w:rPr>
          <w:rFonts w:hint="eastAsia"/>
        </w:rPr>
      </w:pPr>
      <w:r>
        <w:t>综上，本标准与现行国家法律、行政法规、行业及地方标准体系相协调、相衔接，既贯彻了国家</w:t>
      </w:r>
      <w:r>
        <w:rPr>
          <w:rFonts w:hint="eastAsia"/>
          <w:lang w:val="en-US" w:eastAsia="zh-CN"/>
        </w:rPr>
        <w:t>关于渔港经济区建设</w:t>
      </w:r>
      <w:r>
        <w:t>的总体要求，又填补了</w:t>
      </w:r>
      <w:r>
        <w:rPr>
          <w:rFonts w:hint="eastAsia"/>
          <w:lang w:val="en-US" w:eastAsia="zh-CN"/>
        </w:rPr>
        <w:t>渔港经济区</w:t>
      </w:r>
      <w:r>
        <w:t>领域的标准空白，为沿海</w:t>
      </w:r>
      <w:r>
        <w:rPr>
          <w:rFonts w:hint="eastAsia"/>
          <w:lang w:val="en-US" w:eastAsia="zh-CN"/>
        </w:rPr>
        <w:t>地区渔港经济区发展</w:t>
      </w:r>
      <w:r>
        <w:t>提供了系统、科学、可操作的技术支撑。</w:t>
      </w:r>
    </w:p>
    <w:p w14:paraId="5212A350">
      <w:pPr>
        <w:pStyle w:val="2"/>
        <w:rPr>
          <w:rFonts w:hint="eastAsia"/>
        </w:rPr>
      </w:pPr>
      <w:bookmarkStart w:id="15" w:name="_Toc213929734"/>
      <w:r>
        <w:rPr>
          <w:rFonts w:hint="eastAsia"/>
        </w:rPr>
        <w:t>七、</w:t>
      </w:r>
      <w:r>
        <w:t>重大分歧意见的处理经过和依据</w:t>
      </w:r>
      <w:bookmarkEnd w:id="15"/>
    </w:p>
    <w:p w14:paraId="3C018308">
      <w:pPr>
        <w:ind w:firstLine="560"/>
        <w:rPr>
          <w:rFonts w:hint="eastAsia"/>
        </w:rPr>
      </w:pPr>
      <w:r>
        <w:t>该标准制订过程中，未出现重大意见分歧。</w:t>
      </w:r>
    </w:p>
    <w:p w14:paraId="0135C932">
      <w:pPr>
        <w:pStyle w:val="2"/>
        <w:rPr>
          <w:rFonts w:hint="eastAsia"/>
        </w:rPr>
      </w:pPr>
      <w:bookmarkStart w:id="16" w:name="_Toc213929735"/>
      <w:r>
        <w:rPr>
          <w:rFonts w:hint="eastAsia"/>
        </w:rPr>
        <w:t>八、</w:t>
      </w:r>
      <w:r>
        <w:t>涉及专利的有关说明</w:t>
      </w:r>
      <w:bookmarkEnd w:id="16"/>
    </w:p>
    <w:p w14:paraId="2100746E">
      <w:pPr>
        <w:ind w:firstLine="560"/>
        <w:rPr>
          <w:rFonts w:hint="eastAsia"/>
        </w:rPr>
      </w:pPr>
      <w:r>
        <w:rPr>
          <w:rFonts w:hint="eastAsia"/>
        </w:rPr>
        <w:t>本标准</w:t>
      </w:r>
      <w:r>
        <w:t>不存在知识产权纠纷或权属不明的情况。</w:t>
      </w:r>
    </w:p>
    <w:p w14:paraId="27020BBB">
      <w:pPr>
        <w:pStyle w:val="2"/>
        <w:rPr>
          <w:rFonts w:hint="eastAsia"/>
        </w:rPr>
      </w:pPr>
      <w:bookmarkStart w:id="17" w:name="_Toc213929736"/>
      <w:r>
        <w:rPr>
          <w:rFonts w:hint="eastAsia"/>
        </w:rPr>
        <w:t>九、</w:t>
      </w:r>
      <w:r>
        <w:t>实施团体标准的要求和措施建议（包括组织措施、技术措施、过渡办法等内容）</w:t>
      </w:r>
      <w:bookmarkEnd w:id="17"/>
    </w:p>
    <w:p w14:paraId="5C3026A5">
      <w:pPr>
        <w:pStyle w:val="3"/>
        <w:rPr>
          <w:rFonts w:hint="eastAsia"/>
        </w:rPr>
      </w:pPr>
      <w:bookmarkStart w:id="18" w:name="_Toc213929737"/>
      <w:r>
        <w:rPr>
          <w:rFonts w:hint="eastAsia"/>
        </w:rPr>
        <w:t>（一）</w:t>
      </w:r>
      <w:r>
        <w:t>组织措施：</w:t>
      </w:r>
      <w:bookmarkEnd w:id="18"/>
    </w:p>
    <w:p w14:paraId="7429B0C5">
      <w:pPr>
        <w:ind w:firstLine="560"/>
        <w:rPr>
          <w:rFonts w:hint="eastAsia"/>
        </w:rPr>
      </w:pPr>
      <w:r>
        <w:rPr>
          <w:rFonts w:hint="eastAsia"/>
        </w:rPr>
        <w:t>（1）加强组织协调与宣传推广。</w:t>
      </w:r>
    </w:p>
    <w:p w14:paraId="7E6F6EDF">
      <w:pPr>
        <w:ind w:firstLine="560"/>
        <w:rPr>
          <w:rFonts w:hint="eastAsia"/>
        </w:rPr>
      </w:pPr>
      <w:r>
        <w:rPr>
          <w:rFonts w:hint="eastAsia"/>
        </w:rPr>
        <w:t>标准发布后，由中国海洋学会作为归口管理单位，统筹组织实施与宣贯工作。通过成果推介会及专题培训班，向东南沿海地区推广标准内容，提高社会各界对标准的认知度与执行力。</w:t>
      </w:r>
    </w:p>
    <w:p w14:paraId="7AFA478D">
      <w:pPr>
        <w:ind w:firstLine="560"/>
        <w:rPr>
          <w:rFonts w:hint="eastAsia"/>
        </w:rPr>
      </w:pPr>
      <w:r>
        <w:rPr>
          <w:rFonts w:hint="eastAsia"/>
        </w:rPr>
        <w:t>（2）建立标准实施示范区。</w:t>
      </w:r>
    </w:p>
    <w:p w14:paraId="6E97E78D">
      <w:pPr>
        <w:ind w:firstLine="560"/>
        <w:rPr>
          <w:rFonts w:hint="eastAsia"/>
        </w:rPr>
      </w:pPr>
      <w:r>
        <w:rPr>
          <w:rFonts w:hint="eastAsia"/>
        </w:rPr>
        <w:t>通过</w:t>
      </w:r>
      <w:r>
        <w:rPr>
          <w:rFonts w:hint="eastAsia"/>
          <w:lang w:val="en-US" w:eastAsia="zh-CN"/>
        </w:rPr>
        <w:t>选取1-2个浙江省渔港经济区，加强</w:t>
      </w:r>
      <w:r>
        <w:rPr>
          <w:rFonts w:hint="eastAsia"/>
        </w:rPr>
        <w:t>先行先试应用，总结标准在不同</w:t>
      </w:r>
      <w:r>
        <w:rPr>
          <w:rFonts w:hint="eastAsia"/>
          <w:lang w:val="en-US" w:eastAsia="zh-CN"/>
        </w:rPr>
        <w:t>地区</w:t>
      </w:r>
      <w:r>
        <w:rPr>
          <w:rFonts w:hint="eastAsia"/>
        </w:rPr>
        <w:t>条件下的适应性经验，为后续推广提供案例支撑。</w:t>
      </w:r>
    </w:p>
    <w:p w14:paraId="397F9901">
      <w:pPr>
        <w:pStyle w:val="3"/>
        <w:rPr>
          <w:rFonts w:hint="eastAsia"/>
        </w:rPr>
      </w:pPr>
      <w:bookmarkStart w:id="19" w:name="_Toc213929738"/>
      <w:r>
        <w:rPr>
          <w:rFonts w:hint="eastAsia"/>
        </w:rPr>
        <w:t>（二）</w:t>
      </w:r>
      <w:r>
        <w:t>技术措施：</w:t>
      </w:r>
      <w:bookmarkEnd w:id="19"/>
    </w:p>
    <w:p w14:paraId="40DA3A8C">
      <w:pPr>
        <w:ind w:firstLine="560"/>
        <w:rPr>
          <w:rFonts w:hint="eastAsia"/>
        </w:rPr>
      </w:pPr>
      <w:r>
        <w:rPr>
          <w:rFonts w:hint="eastAsia"/>
        </w:rPr>
        <w:t>（1）公开免费查阅。</w:t>
      </w:r>
    </w:p>
    <w:p w14:paraId="47206547">
      <w:pPr>
        <w:ind w:firstLine="560"/>
        <w:rPr>
          <w:rFonts w:hint="eastAsia"/>
        </w:rPr>
      </w:pPr>
      <w:r>
        <w:rPr>
          <w:rFonts w:hint="eastAsia"/>
        </w:rPr>
        <w:t>标准</w:t>
      </w:r>
      <w:r>
        <w:t>发布</w:t>
      </w:r>
      <w:r>
        <w:rPr>
          <w:rFonts w:hint="eastAsia"/>
        </w:rPr>
        <w:t>后</w:t>
      </w:r>
      <w:r>
        <w:t>，</w:t>
      </w:r>
      <w:r>
        <w:rPr>
          <w:rFonts w:hint="eastAsia"/>
        </w:rPr>
        <w:t>再</w:t>
      </w:r>
      <w:r>
        <w:t>中国海洋学会在官方网站（http://www.cso.org.cn/）上全文公布，供社会免费查阅。</w:t>
      </w:r>
    </w:p>
    <w:p w14:paraId="60706655">
      <w:pPr>
        <w:ind w:firstLine="560"/>
        <w:rPr>
          <w:rFonts w:hint="eastAsia"/>
        </w:rPr>
      </w:pPr>
      <w:r>
        <w:rPr>
          <w:rFonts w:hint="eastAsia"/>
        </w:rPr>
        <w:t>（2）完善标准管理。</w:t>
      </w:r>
    </w:p>
    <w:p w14:paraId="1D29BC82">
      <w:pPr>
        <w:ind w:firstLine="560"/>
        <w:rPr>
          <w:rFonts w:hint="eastAsia"/>
        </w:rPr>
      </w:pPr>
      <w:r>
        <w:rPr>
          <w:rFonts w:hint="eastAsia"/>
        </w:rPr>
        <w:t>及时跟踪标准实施情况，收集反馈意见，建立动态修订机制</w:t>
      </w:r>
      <w:r>
        <w:t>，及时发现问题并采取纠正措施</w:t>
      </w:r>
      <w:r>
        <w:rPr>
          <w:rFonts w:hint="eastAsia"/>
        </w:rPr>
        <w:t>。对于在执行过程中发现的新技术、新材料、新方法，按程序进行补充或修订，保持标准的前瞻性与实用性。</w:t>
      </w:r>
    </w:p>
    <w:p w14:paraId="09D04793">
      <w:pPr>
        <w:ind w:firstLine="560"/>
        <w:rPr>
          <w:rFonts w:hint="eastAsia"/>
        </w:rPr>
      </w:pPr>
      <w:r>
        <w:rPr>
          <w:rFonts w:hint="eastAsia"/>
        </w:rPr>
        <w:t>（3）强化技术培训与能力建设。</w:t>
      </w:r>
    </w:p>
    <w:p w14:paraId="16568A01">
      <w:pPr>
        <w:ind w:firstLine="560"/>
        <w:rPr>
          <w:rFonts w:hint="eastAsia"/>
        </w:rPr>
      </w:pPr>
      <w:r>
        <w:rPr>
          <w:rFonts w:hint="eastAsia"/>
        </w:rPr>
        <w:t>针对地方自然资源、</w:t>
      </w:r>
      <w:r>
        <w:rPr>
          <w:rFonts w:hint="eastAsia"/>
          <w:lang w:val="en-US" w:eastAsia="zh-CN"/>
        </w:rPr>
        <w:t>海洋经济、</w:t>
      </w:r>
      <w:r>
        <w:rPr>
          <w:rFonts w:hint="eastAsia"/>
        </w:rPr>
        <w:t>渔业及生态修复管理部门，开展</w:t>
      </w:r>
      <w:r>
        <w:rPr>
          <w:rFonts w:hint="eastAsia"/>
          <w:lang w:val="en-US" w:eastAsia="zh-CN"/>
        </w:rPr>
        <w:t>渔港经济区发展质量评价</w:t>
      </w:r>
      <w:r>
        <w:rPr>
          <w:rFonts w:hint="eastAsia"/>
        </w:rPr>
        <w:t>培训，使得基层技术人员能够准确理解并掌握标准操作要求。</w:t>
      </w:r>
    </w:p>
    <w:p w14:paraId="07D6CE18">
      <w:pPr>
        <w:pStyle w:val="2"/>
        <w:rPr>
          <w:rFonts w:hint="eastAsia"/>
        </w:rPr>
      </w:pPr>
      <w:bookmarkStart w:id="20" w:name="_Toc213929739"/>
      <w:r>
        <w:rPr>
          <w:rFonts w:hint="eastAsia"/>
        </w:rPr>
        <w:t>十、</w:t>
      </w:r>
      <w:r>
        <w:t>其它应当说明的事项</w:t>
      </w:r>
      <w:bookmarkEnd w:id="20"/>
    </w:p>
    <w:p w14:paraId="12467C4D">
      <w:pPr>
        <w:ind w:firstLine="560"/>
        <w:rPr>
          <w:rFonts w:hint="eastAsia"/>
        </w:rPr>
      </w:pPr>
      <w:r>
        <w:t>无其它予以说明的事项。</w:t>
      </w:r>
    </w:p>
    <w:p w14:paraId="04CC7A5A">
      <w:pPr>
        <w:ind w:firstLine="560"/>
        <w:rPr>
          <w:rFonts w:hint="eastAsia"/>
        </w:rPr>
      </w:pPr>
    </w:p>
    <w:sectPr>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A03EDE-69EB-42E2-B14D-29A44225FE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5C05F51-CA62-40B7-BB84-0C49C38EA0FE}"/>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embedRegular r:id="rId3" w:fontKey="{604B40E7-B20B-4E75-A8CE-D2ADBC8402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3ADC">
    <w:pPr>
      <w:pStyle w:val="6"/>
      <w:ind w:firstLine="360"/>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37303">
    <w:pPr>
      <w:pStyle w:val="6"/>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79285">
    <w:pPr>
      <w:pStyle w:val="6"/>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2710871"/>
      <w:docPartObj>
        <w:docPartGallery w:val="autotext"/>
      </w:docPartObj>
    </w:sdtPr>
    <w:sdtContent>
      <w:p w14:paraId="126D8304">
        <w:pPr>
          <w:pStyle w:val="6"/>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560"/>
      </w:pPr>
      <w:r>
        <w:separator/>
      </w:r>
    </w:p>
  </w:footnote>
  <w:footnote w:type="continuationSeparator" w:id="1">
    <w:p>
      <w:pPr>
        <w:spacing w:line="30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4FE4E">
    <w:pPr>
      <w:pStyle w:val="7"/>
      <w:pBdr>
        <w:top w:val="none" w:color="auto" w:sz="0" w:space="0"/>
        <w:left w:val="none" w:color="auto" w:sz="0" w:space="0"/>
        <w:bottom w:val="none" w:color="auto" w:sz="0" w:space="1"/>
        <w:right w:val="none" w:color="auto" w:sz="0" w:space="0"/>
        <w:between w:val="none" w:color="auto" w:sz="0" w:space="0"/>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DF84F">
    <w:pPr>
      <w:pStyle w:val="7"/>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1B868">
    <w:pPr>
      <w:pStyle w:val="7"/>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jMWJmNWY0ZjEzYTFkZWU5MWY4ZTJhOTc5ZDY3YjUifQ=="/>
  </w:docVars>
  <w:rsids>
    <w:rsidRoot w:val="738B4B85"/>
    <w:rsid w:val="00004992"/>
    <w:rsid w:val="00071BF0"/>
    <w:rsid w:val="0009528E"/>
    <w:rsid w:val="00237025"/>
    <w:rsid w:val="00257F3E"/>
    <w:rsid w:val="00260049"/>
    <w:rsid w:val="002632E5"/>
    <w:rsid w:val="0026439E"/>
    <w:rsid w:val="002665C7"/>
    <w:rsid w:val="00270B35"/>
    <w:rsid w:val="00281DDD"/>
    <w:rsid w:val="002960E8"/>
    <w:rsid w:val="002B31D8"/>
    <w:rsid w:val="002D2100"/>
    <w:rsid w:val="002E4933"/>
    <w:rsid w:val="002E7FFD"/>
    <w:rsid w:val="0031173E"/>
    <w:rsid w:val="003125E5"/>
    <w:rsid w:val="00313D5A"/>
    <w:rsid w:val="003545EC"/>
    <w:rsid w:val="00394F71"/>
    <w:rsid w:val="003D1A37"/>
    <w:rsid w:val="003E6126"/>
    <w:rsid w:val="0041614A"/>
    <w:rsid w:val="00421DDF"/>
    <w:rsid w:val="004453AD"/>
    <w:rsid w:val="004476E6"/>
    <w:rsid w:val="00472FD5"/>
    <w:rsid w:val="00493134"/>
    <w:rsid w:val="004C2C3E"/>
    <w:rsid w:val="004D384B"/>
    <w:rsid w:val="004D4505"/>
    <w:rsid w:val="0050432E"/>
    <w:rsid w:val="00522B51"/>
    <w:rsid w:val="00567023"/>
    <w:rsid w:val="005B23B6"/>
    <w:rsid w:val="005C58A0"/>
    <w:rsid w:val="005F4BAC"/>
    <w:rsid w:val="00611AD1"/>
    <w:rsid w:val="006A3B94"/>
    <w:rsid w:val="006D0464"/>
    <w:rsid w:val="00700BCC"/>
    <w:rsid w:val="00706492"/>
    <w:rsid w:val="0072145D"/>
    <w:rsid w:val="00743689"/>
    <w:rsid w:val="007507BB"/>
    <w:rsid w:val="007C783A"/>
    <w:rsid w:val="007D5626"/>
    <w:rsid w:val="00802EFE"/>
    <w:rsid w:val="0081460D"/>
    <w:rsid w:val="00821C19"/>
    <w:rsid w:val="00834215"/>
    <w:rsid w:val="008553E2"/>
    <w:rsid w:val="008A69F3"/>
    <w:rsid w:val="008B44E5"/>
    <w:rsid w:val="008B4A49"/>
    <w:rsid w:val="008B7B5C"/>
    <w:rsid w:val="008F1DE8"/>
    <w:rsid w:val="008F7E7D"/>
    <w:rsid w:val="00981E3A"/>
    <w:rsid w:val="009F6703"/>
    <w:rsid w:val="00A77BC5"/>
    <w:rsid w:val="00A813B9"/>
    <w:rsid w:val="00A92838"/>
    <w:rsid w:val="00AA453D"/>
    <w:rsid w:val="00AC1803"/>
    <w:rsid w:val="00AE7513"/>
    <w:rsid w:val="00B257D4"/>
    <w:rsid w:val="00B301D7"/>
    <w:rsid w:val="00B7541F"/>
    <w:rsid w:val="00BD2132"/>
    <w:rsid w:val="00BE4FD7"/>
    <w:rsid w:val="00CA2198"/>
    <w:rsid w:val="00CC76E9"/>
    <w:rsid w:val="00D061FB"/>
    <w:rsid w:val="00D93BAD"/>
    <w:rsid w:val="00DE02AA"/>
    <w:rsid w:val="00DE5C15"/>
    <w:rsid w:val="00DF6796"/>
    <w:rsid w:val="00E23807"/>
    <w:rsid w:val="00E31BF6"/>
    <w:rsid w:val="00E870A8"/>
    <w:rsid w:val="00E905B3"/>
    <w:rsid w:val="00E94521"/>
    <w:rsid w:val="00EB0F0B"/>
    <w:rsid w:val="00ED01C7"/>
    <w:rsid w:val="00F65700"/>
    <w:rsid w:val="00F76BFD"/>
    <w:rsid w:val="00F82DE4"/>
    <w:rsid w:val="00F91081"/>
    <w:rsid w:val="00FB43DA"/>
    <w:rsid w:val="00FE1963"/>
    <w:rsid w:val="00FF3C5D"/>
    <w:rsid w:val="034C1FB4"/>
    <w:rsid w:val="08B42489"/>
    <w:rsid w:val="15720408"/>
    <w:rsid w:val="16412ACD"/>
    <w:rsid w:val="1ADE4866"/>
    <w:rsid w:val="20DB35F6"/>
    <w:rsid w:val="238C6E5A"/>
    <w:rsid w:val="281D44F4"/>
    <w:rsid w:val="2C4C4554"/>
    <w:rsid w:val="378E2BA3"/>
    <w:rsid w:val="39761A58"/>
    <w:rsid w:val="3B6A375A"/>
    <w:rsid w:val="3D663F5E"/>
    <w:rsid w:val="3E8A71D6"/>
    <w:rsid w:val="3EAA2CC1"/>
    <w:rsid w:val="468E4AE3"/>
    <w:rsid w:val="4BEA6CF2"/>
    <w:rsid w:val="554747DA"/>
    <w:rsid w:val="558F536E"/>
    <w:rsid w:val="637717D7"/>
    <w:rsid w:val="63B662F5"/>
    <w:rsid w:val="6A9D6AE3"/>
    <w:rsid w:val="6F737F6D"/>
    <w:rsid w:val="738B4B85"/>
    <w:rsid w:val="7AA27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00" w:lineRule="auto"/>
      <w:ind w:firstLine="480" w:firstLineChars="200"/>
    </w:pPr>
    <w:rPr>
      <w:rFonts w:cs="宋体" w:asciiTheme="minorEastAsia" w:hAnsiTheme="minorEastAsia" w:eastAsiaTheme="minorEastAsia"/>
      <w:sz w:val="28"/>
      <w:szCs w:val="24"/>
      <w:lang w:val="en-US" w:eastAsia="zh-CN" w:bidi="ar-SA"/>
    </w:rPr>
  </w:style>
  <w:style w:type="paragraph" w:styleId="2">
    <w:name w:val="heading 1"/>
    <w:basedOn w:val="1"/>
    <w:next w:val="1"/>
    <w:autoRedefine/>
    <w:qFormat/>
    <w:uiPriority w:val="0"/>
    <w:pPr>
      <w:keepNext/>
      <w:keepLines/>
      <w:spacing w:before="340" w:after="330" w:line="360" w:lineRule="auto"/>
      <w:ind w:firstLine="0" w:firstLineChars="0"/>
      <w:outlineLvl w:val="0"/>
    </w:pPr>
    <w:rPr>
      <w:b/>
      <w:bCs/>
      <w:kern w:val="44"/>
      <w:sz w:val="30"/>
      <w:szCs w:val="44"/>
    </w:rPr>
  </w:style>
  <w:style w:type="paragraph" w:styleId="3">
    <w:name w:val="heading 2"/>
    <w:basedOn w:val="1"/>
    <w:next w:val="1"/>
    <w:link w:val="25"/>
    <w:unhideWhenUsed/>
    <w:qFormat/>
    <w:uiPriority w:val="0"/>
    <w:pPr>
      <w:keepNext/>
      <w:keepLines/>
      <w:spacing w:before="260" w:after="260" w:line="360" w:lineRule="auto"/>
      <w:ind w:firstLine="0" w:firstLineChars="0"/>
      <w:outlineLvl w:val="1"/>
    </w:pPr>
    <w:rPr>
      <w:rFonts w:asciiTheme="majorHAnsi" w:hAnsiTheme="majorHAnsi" w:eastAsiaTheme="majorEastAsia" w:cstheme="majorBidi"/>
      <w:b/>
      <w:bCs/>
      <w:szCs w:val="32"/>
    </w:rPr>
  </w:style>
  <w:style w:type="paragraph" w:styleId="4">
    <w:name w:val="heading 4"/>
    <w:basedOn w:val="1"/>
    <w:next w:val="1"/>
    <w:link w:val="21"/>
    <w:semiHidden/>
    <w:unhideWhenUsed/>
    <w:qFormat/>
    <w:uiPriority w:val="0"/>
    <w:pPr>
      <w:keepNext/>
      <w:keepLines/>
      <w:spacing w:before="280" w:after="290" w:line="376" w:lineRule="atLeast"/>
      <w:outlineLvl w:val="3"/>
    </w:pPr>
    <w:rPr>
      <w:rFonts w:asciiTheme="majorHAnsi" w:hAnsiTheme="majorHAnsi" w:eastAsiaTheme="majorEastAsia" w:cstheme="majorBidi"/>
      <w:b/>
      <w:bCs/>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style>
  <w:style w:type="paragraph" w:styleId="6">
    <w:name w:val="footer"/>
    <w:basedOn w:val="1"/>
    <w:link w:val="19"/>
    <w:qFormat/>
    <w:uiPriority w:val="99"/>
    <w:pPr>
      <w:tabs>
        <w:tab w:val="center" w:pos="4153"/>
        <w:tab w:val="right" w:pos="8306"/>
      </w:tabs>
      <w:snapToGrid w:val="0"/>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pPr>
      <w:tabs>
        <w:tab w:val="right" w:leader="dot" w:pos="8296"/>
      </w:tabs>
      <w:spacing w:line="240" w:lineRule="auto"/>
      <w:ind w:firstLine="560"/>
    </w:pPr>
  </w:style>
  <w:style w:type="paragraph" w:styleId="9">
    <w:name w:val="toc 2"/>
    <w:basedOn w:val="1"/>
    <w:next w:val="1"/>
    <w:autoRedefine/>
    <w:qFormat/>
    <w:uiPriority w:val="39"/>
    <w:pPr>
      <w:ind w:left="420" w:leftChars="200"/>
    </w:pPr>
  </w:style>
  <w:style w:type="paragraph" w:styleId="10">
    <w:name w:val="Normal (Web)"/>
    <w:basedOn w:val="1"/>
    <w:autoRedefine/>
    <w:qFormat/>
    <w:uiPriority w:val="99"/>
    <w:pPr>
      <w:spacing w:beforeAutospacing="1" w:afterAutospacing="1"/>
    </w:pPr>
    <w:rPr>
      <w:rFonts w:cs="Times New Roman"/>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26E5" w:themeColor="hyperlink"/>
      <w:u w:val="single"/>
      <w14:textFill>
        <w14:solidFill>
          <w14:schemeClr w14:val="hlink"/>
        </w14:solidFill>
      </w14:textFill>
    </w:rPr>
  </w:style>
  <w:style w:type="character" w:styleId="15">
    <w:name w:val="annotation reference"/>
    <w:basedOn w:val="13"/>
    <w:qFormat/>
    <w:uiPriority w:val="0"/>
    <w:rPr>
      <w:sz w:val="21"/>
      <w:szCs w:val="21"/>
    </w:rPr>
  </w:style>
  <w:style w:type="paragraph" w:customStyle="1" w:styleId="16">
    <w:name w:val="Char"/>
    <w:autoRedefine/>
    <w:qFormat/>
    <w:uiPriority w:val="0"/>
    <w:pPr>
      <w:widowControl w:val="0"/>
      <w:adjustRightInd w:val="0"/>
      <w:snapToGrid w:val="0"/>
      <w:spacing w:beforeLines="150" w:afterLines="100" w:line="360" w:lineRule="auto"/>
      <w:ind w:firstLine="192" w:firstLineChars="192"/>
      <w:jc w:val="both"/>
    </w:pPr>
    <w:rPr>
      <w:rFonts w:ascii="Times New Roman" w:hAnsi="Times New Roman" w:eastAsia="仿宋_GB2312" w:cs="Times New Roman"/>
      <w:kern w:val="2"/>
      <w:sz w:val="32"/>
      <w:szCs w:val="32"/>
      <w:lang w:val="en-US" w:eastAsia="zh-CN" w:bidi="ar-SA"/>
    </w:rPr>
  </w:style>
  <w:style w:type="paragraph" w:customStyle="1" w:styleId="17">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
    <w:name w:val="页眉 字符"/>
    <w:basedOn w:val="13"/>
    <w:link w:val="7"/>
    <w:qFormat/>
    <w:uiPriority w:val="0"/>
    <w:rPr>
      <w:rFonts w:ascii="Calibri" w:hAnsi="Calibri" w:cs="Arial"/>
      <w:kern w:val="2"/>
      <w:sz w:val="18"/>
      <w:szCs w:val="18"/>
    </w:rPr>
  </w:style>
  <w:style w:type="character" w:customStyle="1" w:styleId="19">
    <w:name w:val="页脚 字符"/>
    <w:basedOn w:val="13"/>
    <w:link w:val="6"/>
    <w:qFormat/>
    <w:uiPriority w:val="99"/>
    <w:rPr>
      <w:rFonts w:ascii="Calibri" w:hAnsi="Calibri" w:cs="Arial"/>
      <w:kern w:val="2"/>
      <w:sz w:val="18"/>
      <w:szCs w:val="18"/>
    </w:rPr>
  </w:style>
  <w:style w:type="paragraph" w:styleId="20">
    <w:name w:val="List Paragraph"/>
    <w:basedOn w:val="1"/>
    <w:unhideWhenUsed/>
    <w:qFormat/>
    <w:uiPriority w:val="99"/>
    <w:pPr>
      <w:ind w:firstLine="420"/>
    </w:pPr>
  </w:style>
  <w:style w:type="character" w:customStyle="1" w:styleId="21">
    <w:name w:val="标题 4 字符"/>
    <w:basedOn w:val="13"/>
    <w:link w:val="4"/>
    <w:semiHidden/>
    <w:qFormat/>
    <w:uiPriority w:val="0"/>
    <w:rPr>
      <w:rFonts w:asciiTheme="majorHAnsi" w:hAnsiTheme="majorHAnsi" w:eastAsiaTheme="majorEastAsia" w:cstheme="majorBidi"/>
      <w:b/>
      <w:bCs/>
      <w:sz w:val="28"/>
      <w:szCs w:val="28"/>
    </w:rPr>
  </w:style>
  <w:style w:type="paragraph" w:customStyle="1" w:styleId="2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23">
    <w:name w:val="其他发布部门"/>
    <w:basedOn w:val="1"/>
    <w:qFormat/>
    <w:uiPriority w:val="0"/>
    <w:pPr>
      <w:framePr w:w="7433" w:h="585" w:hRule="exact" w:hSpace="180" w:vSpace="180" w:wrap="around" w:vAnchor="margin" w:hAnchor="margin" w:xAlign="center" w:y="14401" w:anchorLock="1"/>
      <w:widowControl/>
      <w:spacing w:line="0" w:lineRule="atLeast"/>
      <w:ind w:firstLine="0" w:firstLineChars="0"/>
      <w:jc w:val="center"/>
    </w:pPr>
    <w:rPr>
      <w:rFonts w:ascii="黑体" w:hAnsi="Times New Roman" w:eastAsia="黑体" w:cs="Times New Roman"/>
      <w:w w:val="135"/>
      <w:sz w:val="36"/>
      <w:szCs w:val="20"/>
    </w:rPr>
  </w:style>
  <w:style w:type="character" w:customStyle="1" w:styleId="24">
    <w:name w:val="发布"/>
    <w:basedOn w:val="13"/>
    <w:qFormat/>
    <w:uiPriority w:val="0"/>
    <w:rPr>
      <w:rFonts w:ascii="黑体" w:eastAsia="黑体"/>
      <w:spacing w:val="85"/>
      <w:w w:val="100"/>
      <w:position w:val="3"/>
      <w:sz w:val="28"/>
      <w:szCs w:val="28"/>
    </w:rPr>
  </w:style>
  <w:style w:type="character" w:customStyle="1" w:styleId="25">
    <w:name w:val="标题 2 字符"/>
    <w:basedOn w:val="13"/>
    <w:link w:val="3"/>
    <w:qFormat/>
    <w:uiPriority w:val="0"/>
    <w:rPr>
      <w:rFonts w:asciiTheme="majorHAnsi" w:hAnsiTheme="majorHAnsi" w:eastAsiaTheme="majorEastAsia" w:cstheme="majorBidi"/>
      <w:b/>
      <w:bCs/>
      <w:sz w:val="28"/>
      <w:szCs w:val="32"/>
    </w:rPr>
  </w:style>
  <w:style w:type="paragraph" w:customStyle="1" w:styleId="26">
    <w:name w:val="TOC Heading"/>
    <w:basedOn w:val="2"/>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2E54A1"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DFC41E-E966-40A6-BA31-5F8773D0FDCB}">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16</Pages>
  <Words>6263</Words>
  <Characters>6475</Characters>
  <Lines>67</Lines>
  <Paragraphs>19</Paragraphs>
  <TotalTime>0</TotalTime>
  <ScaleCrop>false</ScaleCrop>
  <LinksUpToDate>false</LinksUpToDate>
  <CharactersWithSpaces>6531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2025-11-09T06:45:00Z</dcterms:created>
  <dc:creator>_xrz</dc:creator>
  <cp:lastModifiedBy>桃 之夭夭</cp:lastModifiedBy>
  <dcterms:modified xsi:type="dcterms:W3CDTF">2026-09-02T07:50:18Z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9376D51057194754B88AE379EE9BEB2E_13</vt:lpwstr>
  </property>
  <property fmtid="{D5CDD505-2E9C-101B-9397-08002B2CF9AE}" pid="4" name="KSOTemplateDocerSaveRecord">
    <vt:lpwstr>eyJoZGlkIjoiNDc5NTk4YjA3ZWU5NWIyNzU5YzU2ZDNkZWQ4YmEzM2YiLCJ1c2VySWQiOiI0MjYyNzI3MjkifQ==</vt:lpwstr>
  </property>
</Properties>
</file>