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ED" w:rsidRDefault="00207CF1">
      <w:pPr>
        <w:spacing w:beforeLines="50" w:before="156" w:afterLines="50" w:after="156"/>
        <w:jc w:val="center"/>
        <w:rPr>
          <w:rFonts w:ascii="方正小标宋简体" w:eastAsia="方正小标宋简体" w:hAnsi="微软雅黑" w:cs="宋体"/>
          <w:kern w:val="0"/>
          <w:sz w:val="44"/>
          <w:szCs w:val="44"/>
        </w:rPr>
      </w:pPr>
      <w:r>
        <w:rPr>
          <w:rFonts w:ascii="方正小标宋简体" w:eastAsia="方正小标宋简体" w:hAnsi="微软雅黑" w:cs="宋体" w:hint="eastAsia"/>
          <w:kern w:val="0"/>
          <w:sz w:val="44"/>
          <w:szCs w:val="44"/>
        </w:rPr>
        <w:t>《海洋调查服装</w:t>
      </w:r>
      <w:r>
        <w:rPr>
          <w:rFonts w:ascii="方正小标宋简体" w:eastAsia="方正小标宋简体" w:hAnsi="微软雅黑" w:cs="宋体" w:hint="eastAsia"/>
          <w:kern w:val="0"/>
          <w:sz w:val="44"/>
          <w:szCs w:val="44"/>
        </w:rPr>
        <w:t xml:space="preserve"> </w:t>
      </w:r>
      <w:r>
        <w:rPr>
          <w:rFonts w:ascii="方正小标宋简体" w:eastAsia="方正小标宋简体" w:hAnsi="微软雅黑" w:cs="宋体" w:hint="eastAsia"/>
          <w:kern w:val="0"/>
          <w:sz w:val="44"/>
          <w:szCs w:val="44"/>
        </w:rPr>
        <w:t>第</w:t>
      </w:r>
      <w:r>
        <w:rPr>
          <w:rFonts w:ascii="方正小标宋简体" w:eastAsia="方正小标宋简体" w:hAnsi="微软雅黑" w:cs="宋体" w:hint="eastAsia"/>
          <w:kern w:val="0"/>
          <w:sz w:val="44"/>
          <w:szCs w:val="44"/>
        </w:rPr>
        <w:t>1</w:t>
      </w:r>
      <w:r>
        <w:rPr>
          <w:rFonts w:ascii="方正小标宋简体" w:eastAsia="方正小标宋简体" w:hAnsi="微软雅黑" w:cs="宋体" w:hint="eastAsia"/>
          <w:kern w:val="0"/>
          <w:sz w:val="44"/>
          <w:szCs w:val="44"/>
        </w:rPr>
        <w:t>部分至第</w:t>
      </w:r>
      <w:r>
        <w:rPr>
          <w:rFonts w:ascii="方正小标宋简体" w:eastAsia="方正小标宋简体" w:hAnsi="微软雅黑" w:cs="宋体" w:hint="eastAsia"/>
          <w:kern w:val="0"/>
          <w:sz w:val="44"/>
          <w:szCs w:val="44"/>
        </w:rPr>
        <w:t>18</w:t>
      </w:r>
      <w:r>
        <w:rPr>
          <w:rFonts w:ascii="方正小标宋简体" w:eastAsia="方正小标宋简体" w:hAnsi="微软雅黑" w:cs="宋体" w:hint="eastAsia"/>
          <w:kern w:val="0"/>
          <w:sz w:val="44"/>
          <w:szCs w:val="44"/>
        </w:rPr>
        <w:t>部分》编制说明</w:t>
      </w:r>
    </w:p>
    <w:p w:rsidR="00D846ED" w:rsidRDefault="00207CF1">
      <w:pPr>
        <w:pStyle w:val="1"/>
        <w:numPr>
          <w:ilvl w:val="0"/>
          <w:numId w:val="1"/>
        </w:numPr>
        <w:ind w:left="562" w:hanging="562"/>
        <w:rPr>
          <w:rFonts w:hint="default"/>
        </w:rPr>
      </w:pPr>
      <w:r>
        <w:t>工作简况</w:t>
      </w:r>
      <w:r>
        <w:t>(</w:t>
      </w:r>
      <w:r>
        <w:t>包括任务来源、协作单位、主要工作过程、学会标准主要起草人及其所做的工作等</w:t>
      </w:r>
      <w:r>
        <w:t>)</w:t>
      </w:r>
    </w:p>
    <w:p w:rsidR="00D846ED" w:rsidRDefault="00207CF1">
      <w:pPr>
        <w:spacing w:line="360" w:lineRule="auto"/>
        <w:ind w:firstLine="480"/>
        <w:rPr>
          <w:rFonts w:ascii="宋体" w:hAnsi="宋体"/>
        </w:rPr>
      </w:pPr>
      <w:r>
        <w:rPr>
          <w:rFonts w:ascii="宋体" w:hAnsi="宋体" w:hint="eastAsia"/>
        </w:rPr>
        <w:t>我国目前各涉海部门根据日常工作的实际需求，早期对海洋调查所用服装进行过内部小范围的制作和统一，然而由于目前国内市场上暂无海洋调查相关的服装制作标准，因此各单位间制作的服装内容、款式各不相同，服装的功能性与质量良莠不齐，难以保障海洋外业调查服装的基础功能性，也暂时无法树立起统一的海洋外业调查队伍形象。因此，市场上急需一系列既具有海洋调查基础功能性，又具有海洋调查特色的海洋调查服装标准，依据该标准生产出来的海洋调查服装，既能适应不同环境下海洋调查所需的着装需求，又能体现海洋调查队伍严谨科学、专业权威的精神风貌。</w:t>
      </w:r>
    </w:p>
    <w:p w:rsidR="00D846ED" w:rsidRDefault="00207CF1">
      <w:pPr>
        <w:spacing w:line="360" w:lineRule="auto"/>
        <w:ind w:firstLine="480"/>
      </w:pPr>
      <w:r>
        <w:rPr>
          <w:rFonts w:ascii="宋体" w:hAnsi="宋体" w:hint="eastAsia"/>
        </w:rPr>
        <w:t>编制海洋调查服装系列标准，还能</w:t>
      </w:r>
      <w:r>
        <w:rPr>
          <w:rFonts w:hint="eastAsia"/>
        </w:rPr>
        <w:t>为保证规范化生产统一的海洋调查服装，确保服装的一致性、功能性，提供高质量、高标准的技术保障，并且能够加强海洋调查服装的生产、检验和验收工作的规范化管理和协调，有效保障海洋调查服装的质量。</w:t>
      </w:r>
    </w:p>
    <w:p w:rsidR="00D846ED" w:rsidRDefault="00207CF1">
      <w:pPr>
        <w:spacing w:line="360" w:lineRule="auto"/>
        <w:ind w:firstLine="480"/>
      </w:pPr>
      <w:r>
        <w:rPr>
          <w:rFonts w:hint="eastAsia"/>
        </w:rPr>
        <w:t>按照</w:t>
      </w:r>
      <w:r>
        <w:t>2015</w:t>
      </w:r>
      <w:r>
        <w:rPr>
          <w:rFonts w:hint="eastAsia"/>
        </w:rPr>
        <w:t>年</w:t>
      </w:r>
      <w:r>
        <w:t>11</w:t>
      </w:r>
      <w:r>
        <w:rPr>
          <w:rFonts w:hint="eastAsia"/>
        </w:rPr>
        <w:t>月</w:t>
      </w:r>
      <w:r>
        <w:t>19</w:t>
      </w:r>
      <w:r>
        <w:rPr>
          <w:rFonts w:hint="eastAsia"/>
        </w:rPr>
        <w:t>日在珠海召开的海洋调查服装研讨会会议要求，南海分局、技术中心和标准计量中心成立了服装设计专项工作组，先后选择华南理工大学设计学院和邓兆萍时尚设计创新工作室为此次服装设计主要设计团队。</w:t>
      </w:r>
    </w:p>
    <w:p w:rsidR="00D846ED" w:rsidRDefault="00207CF1">
      <w:pPr>
        <w:spacing w:line="360" w:lineRule="auto"/>
        <w:ind w:firstLine="480"/>
      </w:pPr>
      <w:r>
        <w:t>2015</w:t>
      </w:r>
      <w:r>
        <w:rPr>
          <w:rFonts w:hint="eastAsia"/>
        </w:rPr>
        <w:t>年</w:t>
      </w:r>
      <w:r>
        <w:t>11</w:t>
      </w:r>
      <w:r>
        <w:rPr>
          <w:rFonts w:hint="eastAsia"/>
        </w:rPr>
        <w:t>月</w:t>
      </w:r>
      <w:r>
        <w:t>23</w:t>
      </w:r>
      <w:r>
        <w:rPr>
          <w:rFonts w:hint="eastAsia"/>
        </w:rPr>
        <w:t>日至</w:t>
      </w:r>
      <w:r>
        <w:t>2016</w:t>
      </w:r>
      <w:r>
        <w:rPr>
          <w:rFonts w:hint="eastAsia"/>
        </w:rPr>
        <w:t>年</w:t>
      </w:r>
      <w:r>
        <w:t>1</w:t>
      </w:r>
      <w:r>
        <w:rPr>
          <w:rFonts w:hint="eastAsia"/>
        </w:rPr>
        <w:t>月</w:t>
      </w:r>
      <w:r>
        <w:t>5</w:t>
      </w:r>
      <w:r>
        <w:rPr>
          <w:rFonts w:hint="eastAsia"/>
        </w:rPr>
        <w:t>日，工作组经过实地调研，搜集了国外海洋调查服</w:t>
      </w:r>
      <w:r>
        <w:rPr>
          <w:rFonts w:hint="eastAsia"/>
        </w:rPr>
        <w:t>装资料及现有调查服装情况和需求，完成了礼服、常服、作业服三大系列的服装初步设计及部分样衣的制作工作。</w:t>
      </w:r>
    </w:p>
    <w:p w:rsidR="00D846ED" w:rsidRDefault="00207CF1">
      <w:pPr>
        <w:spacing w:line="360" w:lineRule="auto"/>
        <w:ind w:firstLine="480"/>
      </w:pPr>
      <w:r>
        <w:t>2016</w:t>
      </w:r>
      <w:r>
        <w:rPr>
          <w:rFonts w:hint="eastAsia"/>
        </w:rPr>
        <w:t>年</w:t>
      </w:r>
      <w:r>
        <w:t>1</w:t>
      </w:r>
      <w:r>
        <w:rPr>
          <w:rFonts w:hint="eastAsia"/>
        </w:rPr>
        <w:t>月</w:t>
      </w:r>
      <w:r>
        <w:t>7</w:t>
      </w:r>
      <w:r>
        <w:rPr>
          <w:rFonts w:hint="eastAsia"/>
        </w:rPr>
        <w:t>日科技司在厦门召开海洋调查服装研讨会，会后工作组修改完善方案和样衣。</w:t>
      </w:r>
    </w:p>
    <w:p w:rsidR="00D846ED" w:rsidRDefault="00207CF1">
      <w:pPr>
        <w:spacing w:line="360" w:lineRule="auto"/>
        <w:ind w:firstLine="480"/>
      </w:pPr>
      <w:r>
        <w:t>2016</w:t>
      </w:r>
      <w:r>
        <w:rPr>
          <w:rFonts w:hint="eastAsia"/>
        </w:rPr>
        <w:t>年</w:t>
      </w:r>
      <w:r>
        <w:t>7</w:t>
      </w:r>
      <w:r>
        <w:rPr>
          <w:rFonts w:hint="eastAsia"/>
        </w:rPr>
        <w:t>月</w:t>
      </w:r>
      <w:r>
        <w:t>1</w:t>
      </w:r>
      <w:r>
        <w:rPr>
          <w:rFonts w:hint="eastAsia"/>
        </w:rPr>
        <w:t>日科技司在广州召开海洋调查服装研讨会，会后工作组修改设计方案和服饰</w:t>
      </w:r>
      <w:r>
        <w:rPr>
          <w:rFonts w:hint="eastAsia"/>
        </w:rPr>
        <w:t xml:space="preserve"> </w:t>
      </w:r>
      <w:r>
        <w:t>Logo</w:t>
      </w:r>
      <w:r>
        <w:rPr>
          <w:rFonts w:hint="eastAsia"/>
        </w:rPr>
        <w:t>标识，重新制作样衣，并制作了宣传视频、着装规范和服装标准初稿。</w:t>
      </w:r>
    </w:p>
    <w:p w:rsidR="00D846ED" w:rsidRDefault="00207CF1">
      <w:pPr>
        <w:spacing w:line="360" w:lineRule="auto"/>
        <w:ind w:firstLine="480"/>
      </w:pPr>
      <w:r>
        <w:rPr>
          <w:rFonts w:hint="eastAsia"/>
        </w:rPr>
        <w:t>经过前期调研及方案设计，现已完成礼服、常服、作业服三大系列及</w:t>
      </w:r>
      <w:r>
        <w:t>相应配</w:t>
      </w:r>
      <w:r>
        <w:lastRenderedPageBreak/>
        <w:t>饰的</w:t>
      </w:r>
      <w:r>
        <w:rPr>
          <w:rFonts w:hint="eastAsia"/>
        </w:rPr>
        <w:t>服装的设计。</w:t>
      </w:r>
    </w:p>
    <w:p w:rsidR="00D846ED" w:rsidRDefault="00207CF1">
      <w:pPr>
        <w:spacing w:line="360" w:lineRule="auto"/>
        <w:ind w:firstLine="480"/>
      </w:pPr>
      <w:r>
        <w:rPr>
          <w:rFonts w:hint="eastAsia"/>
        </w:rPr>
        <w:t>2016</w:t>
      </w:r>
      <w:r>
        <w:rPr>
          <w:rFonts w:hint="eastAsia"/>
        </w:rPr>
        <w:t>年</w:t>
      </w:r>
      <w:r>
        <w:rPr>
          <w:rFonts w:hint="eastAsia"/>
        </w:rPr>
        <w:t>7</w:t>
      </w:r>
      <w:r>
        <w:rPr>
          <w:rFonts w:hint="eastAsia"/>
        </w:rPr>
        <w:t>月</w:t>
      </w:r>
      <w:r>
        <w:rPr>
          <w:rFonts w:hint="eastAsia"/>
        </w:rPr>
        <w:t>2</w:t>
      </w:r>
      <w:r>
        <w:rPr>
          <w:rFonts w:hint="eastAsia"/>
        </w:rPr>
        <w:t>日至今，修改设计方案和服饰</w:t>
      </w:r>
      <w:r>
        <w:rPr>
          <w:rFonts w:hint="eastAsia"/>
        </w:rPr>
        <w:t xml:space="preserve"> Logo</w:t>
      </w:r>
      <w:r>
        <w:rPr>
          <w:rFonts w:hint="eastAsia"/>
        </w:rPr>
        <w:t>标识，重新制作样衣，样</w:t>
      </w:r>
      <w:proofErr w:type="gramStart"/>
      <w:r>
        <w:rPr>
          <w:rFonts w:hint="eastAsia"/>
        </w:rPr>
        <w:t>衣部</w:t>
      </w:r>
      <w:r>
        <w:t>分</w:t>
      </w:r>
      <w:proofErr w:type="gramEnd"/>
      <w:r>
        <w:t>海洋</w:t>
      </w:r>
      <w:r>
        <w:t>调查人员定做试穿、</w:t>
      </w:r>
      <w:r>
        <w:rPr>
          <w:rFonts w:hint="eastAsia"/>
        </w:rPr>
        <w:t>反馈</w:t>
      </w:r>
      <w:r>
        <w:t>良好，</w:t>
      </w:r>
      <w:r>
        <w:rPr>
          <w:rFonts w:hint="eastAsia"/>
        </w:rPr>
        <w:t>并制作了宣传视频、着装规范和</w:t>
      </w:r>
      <w:r>
        <w:t>编制了</w:t>
      </w:r>
      <w:r>
        <w:rPr>
          <w:rFonts w:hint="eastAsia"/>
        </w:rPr>
        <w:t>服装标准初稿。</w:t>
      </w:r>
    </w:p>
    <w:p w:rsidR="00D846ED" w:rsidRDefault="00207CF1">
      <w:pPr>
        <w:spacing w:line="360" w:lineRule="auto"/>
        <w:ind w:firstLine="480"/>
      </w:pPr>
      <w:r>
        <w:t>国家</w:t>
      </w:r>
      <w:r>
        <w:rPr>
          <w:rFonts w:hint="eastAsia"/>
        </w:rPr>
        <w:t>海洋标准计量中心、国家</w:t>
      </w:r>
      <w:r>
        <w:t>海洋局</w:t>
      </w:r>
      <w:r>
        <w:rPr>
          <w:rFonts w:hint="eastAsia"/>
        </w:rPr>
        <w:t>南海标准计量中心按照服装</w:t>
      </w:r>
      <w:proofErr w:type="gramStart"/>
      <w:r>
        <w:rPr>
          <w:rFonts w:hint="eastAsia"/>
        </w:rPr>
        <w:t>分类共</w:t>
      </w:r>
      <w:proofErr w:type="gramEnd"/>
      <w:r>
        <w:t>牵头</w:t>
      </w:r>
      <w:r>
        <w:rPr>
          <w:rFonts w:hint="eastAsia"/>
        </w:rPr>
        <w:t>编制</w:t>
      </w:r>
      <w:r>
        <w:rPr>
          <w:rFonts w:hint="eastAsia"/>
        </w:rPr>
        <w:t>18</w:t>
      </w:r>
      <w:r>
        <w:rPr>
          <w:rFonts w:hint="eastAsia"/>
        </w:rPr>
        <w:t>个服装</w:t>
      </w:r>
      <w:r>
        <w:t>团体</w:t>
      </w:r>
      <w:r>
        <w:rPr>
          <w:rFonts w:hint="eastAsia"/>
        </w:rPr>
        <w:t>标准草稿，并于</w:t>
      </w:r>
      <w:r>
        <w:t>2020</w:t>
      </w:r>
      <w:r>
        <w:rPr>
          <w:rFonts w:hint="eastAsia"/>
        </w:rPr>
        <w:t>年</w:t>
      </w:r>
      <w:r>
        <w:t>2</w:t>
      </w:r>
      <w:r>
        <w:rPr>
          <w:rFonts w:hint="eastAsia"/>
        </w:rPr>
        <w:t>月</w:t>
      </w:r>
      <w:r>
        <w:t>通过海洋学会团体标准立项评审</w:t>
      </w:r>
      <w:r>
        <w:rPr>
          <w:rFonts w:hint="eastAsia"/>
        </w:rPr>
        <w:t>会，</w:t>
      </w:r>
      <w:r>
        <w:t>进一步</w:t>
      </w:r>
      <w:r>
        <w:rPr>
          <w:rFonts w:hint="eastAsia"/>
        </w:rPr>
        <w:t>确定了标准的框架和内容。</w:t>
      </w:r>
    </w:p>
    <w:p w:rsidR="00D846ED" w:rsidRDefault="00207CF1">
      <w:pPr>
        <w:spacing w:line="360" w:lineRule="auto"/>
        <w:ind w:firstLine="480"/>
        <w:rPr>
          <w:rFonts w:ascii="宋体" w:hAnsi="宋体"/>
        </w:rPr>
      </w:pPr>
      <w:r>
        <w:rPr>
          <w:rFonts w:hint="eastAsia"/>
        </w:rPr>
        <w:t>本</w:t>
      </w:r>
      <w:r>
        <w:t>系列标准参与起草单位有国家海洋局南海标准计量中心、国家海洋标准计量中心、国家海洋技术中心、</w:t>
      </w:r>
      <w:r>
        <w:rPr>
          <w:rFonts w:hint="eastAsia"/>
        </w:rPr>
        <w:t>华南农业</w:t>
      </w:r>
      <w:r>
        <w:t>大学、</w:t>
      </w:r>
      <w:r>
        <w:rPr>
          <w:rFonts w:hint="eastAsia"/>
        </w:rPr>
        <w:t>广州</w:t>
      </w:r>
      <w:r>
        <w:rPr>
          <w:rFonts w:hint="eastAsia"/>
        </w:rPr>
        <w:t>轻工</w:t>
      </w:r>
      <w:r>
        <w:t>研究院股份有限公司（</w:t>
      </w:r>
      <w:r>
        <w:rPr>
          <w:rFonts w:hint="eastAsia"/>
        </w:rPr>
        <w:t>原名</w:t>
      </w:r>
      <w:r>
        <w:t>：广东广纺</w:t>
      </w:r>
      <w:r>
        <w:rPr>
          <w:rFonts w:hint="eastAsia"/>
        </w:rPr>
        <w:t>检测</w:t>
      </w:r>
      <w:r>
        <w:t>计量技术股份有限公司）</w:t>
      </w:r>
      <w:r>
        <w:rPr>
          <w:rFonts w:hint="eastAsia"/>
        </w:rPr>
        <w:t>、广州</w:t>
      </w:r>
      <w:r>
        <w:t>贵昌实业有限公司</w:t>
      </w:r>
      <w:r>
        <w:rPr>
          <w:rFonts w:hint="eastAsia"/>
        </w:rPr>
        <w:t>、上海</w:t>
      </w:r>
      <w:r>
        <w:t>葵然实业有限公司工</w:t>
      </w:r>
      <w:r>
        <w:t>7</w:t>
      </w:r>
      <w:r>
        <w:rPr>
          <w:rFonts w:hint="eastAsia"/>
        </w:rPr>
        <w:t>家</w:t>
      </w:r>
      <w:r>
        <w:t>单位，</w:t>
      </w:r>
      <w:r>
        <w:rPr>
          <w:rFonts w:hint="eastAsia"/>
        </w:rPr>
        <w:t>参与</w:t>
      </w:r>
      <w:r>
        <w:t>起草人员</w:t>
      </w:r>
      <w:r>
        <w:t>20</w:t>
      </w:r>
      <w:r>
        <w:rPr>
          <w:rFonts w:hint="eastAsia"/>
        </w:rPr>
        <w:t>余</w:t>
      </w:r>
      <w:r>
        <w:t>人，</w:t>
      </w:r>
      <w:r>
        <w:rPr>
          <w:rFonts w:hint="eastAsia"/>
        </w:rPr>
        <w:t>是</w:t>
      </w:r>
      <w:r>
        <w:t>一项经广泛、长时间</w:t>
      </w:r>
      <w:r>
        <w:rPr>
          <w:rFonts w:hint="eastAsia"/>
        </w:rPr>
        <w:t>调研</w:t>
      </w:r>
      <w:r>
        <w:t>、</w:t>
      </w:r>
      <w:r>
        <w:rPr>
          <w:rFonts w:hint="eastAsia"/>
        </w:rPr>
        <w:t>制作</w:t>
      </w:r>
      <w:r>
        <w:t>样板</w:t>
      </w:r>
      <w:r>
        <w:rPr>
          <w:rFonts w:hint="eastAsia"/>
        </w:rPr>
        <w:t>衣、</w:t>
      </w:r>
      <w:r>
        <w:t>并经充分</w:t>
      </w:r>
      <w:r>
        <w:rPr>
          <w:rFonts w:hint="eastAsia"/>
        </w:rPr>
        <w:t>编写修改</w:t>
      </w:r>
      <w:r>
        <w:t>的服装标准。</w:t>
      </w:r>
    </w:p>
    <w:p w:rsidR="00D846ED" w:rsidRDefault="00207CF1">
      <w:pPr>
        <w:pStyle w:val="1"/>
        <w:numPr>
          <w:ilvl w:val="0"/>
          <w:numId w:val="1"/>
        </w:numPr>
        <w:ind w:left="562" w:hanging="562"/>
        <w:rPr>
          <w:rFonts w:hint="default"/>
        </w:rPr>
      </w:pPr>
      <w:r>
        <w:t>确定团体学会标准主要技术内容（如技术指标、参数、公式、性能要求、实验方法、检验规则等）的论据（包括试验、统计数据）；</w:t>
      </w:r>
    </w:p>
    <w:p w:rsidR="00D846ED" w:rsidRDefault="00207CF1">
      <w:pPr>
        <w:pStyle w:val="2"/>
        <w:numPr>
          <w:ilvl w:val="0"/>
          <w:numId w:val="2"/>
        </w:numPr>
        <w:spacing w:before="156" w:after="156"/>
        <w:rPr>
          <w:rFonts w:hint="default"/>
        </w:rPr>
      </w:pPr>
      <w:r>
        <w:t>安全性能</w:t>
      </w:r>
    </w:p>
    <w:p w:rsidR="00D846ED" w:rsidRDefault="00207CF1">
      <w:pPr>
        <w:pStyle w:val="a7"/>
        <w:ind w:firstLine="480"/>
      </w:pPr>
      <w:r>
        <w:rPr>
          <w:rFonts w:hint="eastAsia"/>
        </w:rPr>
        <w:t>海洋调查服装第</w:t>
      </w:r>
      <w:r>
        <w:rPr>
          <w:rFonts w:hint="eastAsia"/>
        </w:rPr>
        <w:t>1</w:t>
      </w:r>
      <w:r>
        <w:rPr>
          <w:rFonts w:hint="eastAsia"/>
        </w:rPr>
        <w:t>部分至第</w:t>
      </w:r>
      <w:r>
        <w:rPr>
          <w:rFonts w:hint="eastAsia"/>
        </w:rPr>
        <w:t>18</w:t>
      </w:r>
      <w:r>
        <w:rPr>
          <w:rFonts w:hint="eastAsia"/>
        </w:rPr>
        <w:t>部分涉及的内容为常用穿着服装及配件，穿着对象为成人，根据国家服装规定，在安全性能方面，必须满足</w:t>
      </w:r>
      <w:r>
        <w:rPr>
          <w:rFonts w:hint="eastAsia"/>
        </w:rPr>
        <w:t>GB/T18401-2010</w:t>
      </w:r>
      <w:r>
        <w:rPr>
          <w:rFonts w:hint="eastAsia"/>
        </w:rPr>
        <w:t>国家纺织产品基本安全技术规范的规定，该标准规定了纺织产品的基本安全技术</w:t>
      </w:r>
      <w:hyperlink r:id="rId8" w:tgtFrame="https://baike.so.com/doc/_blank" w:history="1">
        <w:r>
          <w:t>要求</w:t>
        </w:r>
      </w:hyperlink>
      <w:r>
        <w:t>、试验方法、检验规则及实施与监督。纺织产品的其他要求按有关的标准执行。该标准适用于在我国境内生产、销售的服用、装饰用和家用纺织产品</w:t>
      </w:r>
      <w:r>
        <w:rPr>
          <w:rFonts w:hint="eastAsia"/>
        </w:rPr>
        <w:t>。</w:t>
      </w:r>
    </w:p>
    <w:p w:rsidR="00D846ED" w:rsidRDefault="00207CF1">
      <w:pPr>
        <w:pStyle w:val="2"/>
        <w:numPr>
          <w:ilvl w:val="0"/>
          <w:numId w:val="2"/>
        </w:numPr>
        <w:spacing w:before="156" w:after="156"/>
        <w:rPr>
          <w:rFonts w:hint="default"/>
        </w:rPr>
      </w:pPr>
      <w:r>
        <w:t>理化性能</w:t>
      </w:r>
    </w:p>
    <w:p w:rsidR="00D846ED" w:rsidRDefault="00207CF1">
      <w:pPr>
        <w:pStyle w:val="a7"/>
        <w:ind w:firstLine="480"/>
      </w:pPr>
      <w:r>
        <w:rPr>
          <w:rFonts w:hint="eastAsia"/>
        </w:rPr>
        <w:t>理化性能方面不同的服饰参考了与之相对应的现有国家标准或行业标准，同时考虑到服装的应用环境，增加了静电考核指标，并将耐光色牢度的要求进行了提高。对于速干</w:t>
      </w:r>
      <w:r>
        <w:rPr>
          <w:rFonts w:hint="eastAsia"/>
        </w:rPr>
        <w:t>T</w:t>
      </w:r>
      <w:r>
        <w:rPr>
          <w:rFonts w:hint="eastAsia"/>
        </w:rPr>
        <w:t>恤和</w:t>
      </w:r>
      <w:proofErr w:type="gramStart"/>
      <w:r>
        <w:rPr>
          <w:rFonts w:hint="eastAsia"/>
        </w:rPr>
        <w:t>速干</w:t>
      </w:r>
      <w:proofErr w:type="gramEnd"/>
      <w:r>
        <w:rPr>
          <w:rFonts w:hint="eastAsia"/>
        </w:rPr>
        <w:t>衬衫套装这类功能性的服装，增加了速干指标，如蒸发速率、透湿量等指标要求；手套和袜子类的产品增加了水蒸气渗</w:t>
      </w:r>
      <w:r>
        <w:rPr>
          <w:rFonts w:hint="eastAsia"/>
        </w:rPr>
        <w:t>透性要求。</w:t>
      </w:r>
    </w:p>
    <w:p w:rsidR="00D846ED" w:rsidRDefault="00207CF1">
      <w:pPr>
        <w:pStyle w:val="2"/>
        <w:numPr>
          <w:ilvl w:val="0"/>
          <w:numId w:val="2"/>
        </w:numPr>
        <w:spacing w:before="156" w:after="156"/>
        <w:rPr>
          <w:rFonts w:hint="default"/>
        </w:rPr>
      </w:pPr>
      <w:r>
        <w:lastRenderedPageBreak/>
        <w:t>外观质量</w:t>
      </w:r>
    </w:p>
    <w:p w:rsidR="00D846ED" w:rsidRDefault="00207CF1">
      <w:pPr>
        <w:pStyle w:val="a7"/>
        <w:ind w:firstLine="480"/>
      </w:pPr>
      <w:r>
        <w:rPr>
          <w:rFonts w:hint="eastAsia"/>
        </w:rPr>
        <w:t>国内的服装规格尺寸主要有</w:t>
      </w:r>
      <w:r>
        <w:rPr>
          <w:rFonts w:hint="eastAsia"/>
        </w:rPr>
        <w:t>GB/T1335.1</w:t>
      </w:r>
      <w:r>
        <w:rPr>
          <w:rFonts w:hint="eastAsia"/>
        </w:rPr>
        <w:t>，</w:t>
      </w:r>
      <w:r>
        <w:rPr>
          <w:rFonts w:hint="eastAsia"/>
        </w:rPr>
        <w:t>GB/T1335.2</w:t>
      </w:r>
      <w:r>
        <w:rPr>
          <w:rFonts w:hint="eastAsia"/>
        </w:rPr>
        <w:t>，和</w:t>
      </w:r>
      <w:r>
        <w:rPr>
          <w:rFonts w:hint="eastAsia"/>
        </w:rPr>
        <w:t>GB/T1335.3</w:t>
      </w:r>
      <w:proofErr w:type="gramStart"/>
      <w:r>
        <w:rPr>
          <w:rFonts w:hint="eastAsia"/>
        </w:rPr>
        <w:t>三个</w:t>
      </w:r>
      <w:proofErr w:type="gramEnd"/>
      <w:r>
        <w:rPr>
          <w:rFonts w:hint="eastAsia"/>
        </w:rPr>
        <w:t>国家标准，分别对应男子号型、女子号型和儿童号型，海洋调查服装第</w:t>
      </w:r>
      <w:r>
        <w:rPr>
          <w:rFonts w:hint="eastAsia"/>
        </w:rPr>
        <w:t>1</w:t>
      </w:r>
      <w:r>
        <w:rPr>
          <w:rFonts w:hint="eastAsia"/>
        </w:rPr>
        <w:t>部分至第</w:t>
      </w:r>
      <w:r>
        <w:rPr>
          <w:rFonts w:hint="eastAsia"/>
        </w:rPr>
        <w:t>18</w:t>
      </w:r>
      <w:r>
        <w:rPr>
          <w:rFonts w:hint="eastAsia"/>
        </w:rPr>
        <w:t>部分涉及的服装的号型分别对应</w:t>
      </w:r>
      <w:r>
        <w:rPr>
          <w:rFonts w:hint="eastAsia"/>
        </w:rPr>
        <w:t>GB/T1335.1,GB/T1335.2</w:t>
      </w:r>
      <w:r>
        <w:rPr>
          <w:rFonts w:hint="eastAsia"/>
        </w:rPr>
        <w:t>的规定，鞋子、帽和领带分别对应相应的国家标准的要求。</w:t>
      </w:r>
    </w:p>
    <w:p w:rsidR="00D846ED" w:rsidRDefault="00207CF1">
      <w:pPr>
        <w:pStyle w:val="1"/>
        <w:numPr>
          <w:ilvl w:val="0"/>
          <w:numId w:val="1"/>
        </w:numPr>
        <w:ind w:left="562" w:hanging="562"/>
        <w:rPr>
          <w:rFonts w:hint="default"/>
        </w:rPr>
      </w:pPr>
      <w:r>
        <w:t>主要试验（验证）的分析、综述报告，技术经济论证，预期的经济效果；</w:t>
      </w:r>
    </w:p>
    <w:p w:rsidR="00D846ED" w:rsidRDefault="00207CF1">
      <w:pPr>
        <w:ind w:firstLine="480"/>
      </w:pPr>
      <w:r>
        <w:rPr>
          <w:rFonts w:hint="eastAsia"/>
        </w:rPr>
        <w:t>海洋调查服装系列标准中服装的基本要求都符合国家强制标准</w:t>
      </w:r>
      <w:r>
        <w:rPr>
          <w:rFonts w:hint="eastAsia"/>
        </w:rPr>
        <w:t>GB/T18401-2010</w:t>
      </w:r>
      <w:r>
        <w:rPr>
          <w:rFonts w:hint="eastAsia"/>
        </w:rPr>
        <w:t>的要求，同时对于不同类别的服装也引用了与之相对应的产品标准要求，比如海洋调查服装第</w:t>
      </w:r>
      <w:r>
        <w:rPr>
          <w:rFonts w:hint="eastAsia"/>
        </w:rPr>
        <w:t>1</w:t>
      </w:r>
      <w:r>
        <w:rPr>
          <w:rFonts w:hint="eastAsia"/>
        </w:rPr>
        <w:t>部分冬大衣标准中的理化性能要求引用了</w:t>
      </w:r>
      <w:r>
        <w:rPr>
          <w:rFonts w:hAnsi="宋体"/>
        </w:rPr>
        <w:t>GB/T 2664</w:t>
      </w:r>
      <w:r>
        <w:rPr>
          <w:rFonts w:hAnsi="宋体" w:hint="eastAsia"/>
        </w:rPr>
        <w:t>、</w:t>
      </w:r>
      <w:r>
        <w:rPr>
          <w:rFonts w:hAnsi="宋体"/>
        </w:rPr>
        <w:t>GB/T 2665</w:t>
      </w:r>
      <w:r>
        <w:rPr>
          <w:rFonts w:hAnsi="宋体" w:hint="eastAsia"/>
        </w:rPr>
        <w:t>的相关规定，</w:t>
      </w:r>
      <w:r>
        <w:rPr>
          <w:rFonts w:hint="eastAsia"/>
        </w:rPr>
        <w:t>海洋调查服装第</w:t>
      </w:r>
      <w:r>
        <w:rPr>
          <w:rFonts w:hint="eastAsia"/>
        </w:rPr>
        <w:t>4</w:t>
      </w:r>
      <w:r>
        <w:rPr>
          <w:rFonts w:hint="eastAsia"/>
        </w:rPr>
        <w:t>部分女裙的理化性能要求引用了</w:t>
      </w:r>
      <w:r>
        <w:rPr>
          <w:rFonts w:hint="eastAsia"/>
        </w:rPr>
        <w:t>GB/T2666</w:t>
      </w:r>
      <w:r>
        <w:rPr>
          <w:rFonts w:hint="eastAsia"/>
        </w:rPr>
        <w:t>的相关规定，海洋调查服装第</w:t>
      </w:r>
      <w:r>
        <w:rPr>
          <w:rFonts w:hint="eastAsia"/>
        </w:rPr>
        <w:t>10</w:t>
      </w:r>
      <w:r>
        <w:rPr>
          <w:rFonts w:hint="eastAsia"/>
        </w:rPr>
        <w:t>部分作业服的理化性能引用了</w:t>
      </w:r>
      <w:r>
        <w:rPr>
          <w:rFonts w:hint="eastAsia"/>
        </w:rPr>
        <w:t>GB/T81007</w:t>
      </w:r>
      <w:r>
        <w:rPr>
          <w:rFonts w:hint="eastAsia"/>
        </w:rPr>
        <w:t>的相关规定等，海洋调查服装系列标准中出来应用了相关标准，还根据实际穿着情况，增加了以下内容。</w:t>
      </w:r>
    </w:p>
    <w:p w:rsidR="00D846ED" w:rsidRDefault="00207CF1">
      <w:pPr>
        <w:pStyle w:val="2"/>
        <w:numPr>
          <w:ilvl w:val="0"/>
          <w:numId w:val="3"/>
        </w:numPr>
        <w:spacing w:before="156" w:after="156"/>
        <w:rPr>
          <w:rFonts w:hint="default"/>
        </w:rPr>
      </w:pPr>
      <w:r>
        <w:t>静电性能</w:t>
      </w:r>
    </w:p>
    <w:p w:rsidR="00D846ED" w:rsidRDefault="00207CF1">
      <w:pPr>
        <w:ind w:firstLine="480"/>
      </w:pPr>
      <w:r>
        <w:rPr>
          <w:rFonts w:hint="eastAsia"/>
        </w:rPr>
        <w:t>海洋调查服装第</w:t>
      </w:r>
      <w:r>
        <w:rPr>
          <w:rFonts w:hint="eastAsia"/>
        </w:rPr>
        <w:t>1</w:t>
      </w:r>
      <w:r>
        <w:rPr>
          <w:rFonts w:hint="eastAsia"/>
        </w:rPr>
        <w:t>部分至第</w:t>
      </w:r>
      <w:r>
        <w:rPr>
          <w:rFonts w:hint="eastAsia"/>
        </w:rPr>
        <w:t>12</w:t>
      </w:r>
      <w:r>
        <w:rPr>
          <w:rFonts w:hint="eastAsia"/>
        </w:rPr>
        <w:t>部分中都增加了对静电的考核，要求电荷量≤</w:t>
      </w:r>
      <w:r>
        <w:rPr>
          <w:rFonts w:hint="eastAsia"/>
        </w:rPr>
        <w:t>0.6</w:t>
      </w:r>
      <w:r>
        <w:rPr>
          <w:rFonts w:hint="eastAsia"/>
        </w:rPr>
        <w:t>μ</w:t>
      </w:r>
      <w:r>
        <w:rPr>
          <w:rFonts w:hint="eastAsia"/>
        </w:rPr>
        <w:t>c/</w:t>
      </w:r>
      <w:r>
        <w:rPr>
          <w:rFonts w:hint="eastAsia"/>
        </w:rPr>
        <w:t>件</w:t>
      </w:r>
      <w:r>
        <w:rPr>
          <w:rFonts w:hint="eastAsia"/>
        </w:rPr>
        <w:t>。该技术指标的确定是参考了</w:t>
      </w:r>
      <w:r>
        <w:rPr>
          <w:rFonts w:hint="eastAsia"/>
        </w:rPr>
        <w:t>GB/T12703.3</w:t>
      </w:r>
      <w:r>
        <w:rPr>
          <w:rFonts w:hint="eastAsia"/>
        </w:rPr>
        <w:t>纺织品静电性能的评定第</w:t>
      </w:r>
      <w:r>
        <w:rPr>
          <w:rFonts w:hint="eastAsia"/>
        </w:rPr>
        <w:t>3</w:t>
      </w:r>
      <w:r>
        <w:rPr>
          <w:rFonts w:hint="eastAsia"/>
        </w:rPr>
        <w:t>部分电荷量的规定，该标准规定了服装及其他纺织制品摩擦带电荷量的测试方法，适用于各类服装及其他纺织制品。该标准是常用的测试服装防静电性能的标准，标准中规定“对于非耐久型抗静电纺织品，洗前电荷量应不超过</w:t>
      </w:r>
      <w:r>
        <w:rPr>
          <w:rFonts w:hint="eastAsia"/>
        </w:rPr>
        <w:t>0.6</w:t>
      </w:r>
      <w:r>
        <w:rPr>
          <w:rFonts w:hint="eastAsia"/>
        </w:rPr>
        <w:t>μ</w:t>
      </w:r>
      <w:r>
        <w:rPr>
          <w:rFonts w:hint="eastAsia"/>
        </w:rPr>
        <w:t>c/</w:t>
      </w:r>
      <w:r>
        <w:rPr>
          <w:rFonts w:hint="eastAsia"/>
        </w:rPr>
        <w:t>件</w:t>
      </w:r>
      <w:r>
        <w:rPr>
          <w:rFonts w:hint="eastAsia"/>
        </w:rPr>
        <w:t>；对于耐久型抗静电纺织品，洗前、洗后电荷量均应不超过</w:t>
      </w:r>
      <w:r>
        <w:rPr>
          <w:rFonts w:hint="eastAsia"/>
        </w:rPr>
        <w:t>0.6</w:t>
      </w:r>
      <w:r>
        <w:rPr>
          <w:rFonts w:hint="eastAsia"/>
        </w:rPr>
        <w:t>μ</w:t>
      </w:r>
      <w:r>
        <w:rPr>
          <w:rFonts w:hint="eastAsia"/>
        </w:rPr>
        <w:t>c/</w:t>
      </w:r>
      <w:r>
        <w:rPr>
          <w:rFonts w:hint="eastAsia"/>
        </w:rPr>
        <w:t>件</w:t>
      </w:r>
      <w:r>
        <w:rPr>
          <w:rFonts w:hint="eastAsia"/>
        </w:rPr>
        <w:t>”。</w:t>
      </w:r>
      <w:r>
        <w:rPr>
          <w:rFonts w:hint="eastAsia"/>
        </w:rPr>
        <w:t>海洋调查服装第</w:t>
      </w:r>
      <w:r>
        <w:rPr>
          <w:rFonts w:hint="eastAsia"/>
        </w:rPr>
        <w:t>1</w:t>
      </w:r>
      <w:r>
        <w:rPr>
          <w:rFonts w:hint="eastAsia"/>
        </w:rPr>
        <w:t>部分至第</w:t>
      </w:r>
      <w:r>
        <w:rPr>
          <w:rFonts w:hint="eastAsia"/>
        </w:rPr>
        <w:t>12</w:t>
      </w:r>
      <w:r>
        <w:rPr>
          <w:rFonts w:hint="eastAsia"/>
        </w:rPr>
        <w:t>部分</w:t>
      </w:r>
      <w:r>
        <w:rPr>
          <w:rFonts w:hint="eastAsia"/>
        </w:rPr>
        <w:t>涉及大衣、外套、衬衣等需要经常穿着和洗涤的服</w:t>
      </w:r>
      <w:r>
        <w:rPr>
          <w:rFonts w:hint="eastAsia"/>
        </w:rPr>
        <w:t>饰，虽然包含作业服和作</w:t>
      </w:r>
      <w:proofErr w:type="gramStart"/>
      <w:r>
        <w:rPr>
          <w:rFonts w:hint="eastAsia"/>
        </w:rPr>
        <w:t>训服</w:t>
      </w:r>
      <w:proofErr w:type="gramEnd"/>
      <w:r>
        <w:rPr>
          <w:rFonts w:hint="eastAsia"/>
        </w:rPr>
        <w:t>特殊场合穿着的服饰，但是对防静电的要求不高，符合日常防静电服的要求即可，所以海洋调查负责标准中增加了的静电考核，只需要电荷量</w:t>
      </w:r>
      <w:r>
        <w:rPr>
          <w:rFonts w:hint="eastAsia"/>
        </w:rPr>
        <w:t>≤</w:t>
      </w:r>
      <w:r>
        <w:rPr>
          <w:rFonts w:hint="eastAsia"/>
        </w:rPr>
        <w:t>0.6</w:t>
      </w:r>
      <w:r>
        <w:rPr>
          <w:rFonts w:hint="eastAsia"/>
        </w:rPr>
        <w:t>μ</w:t>
      </w:r>
      <w:r>
        <w:rPr>
          <w:rFonts w:hint="eastAsia"/>
        </w:rPr>
        <w:t>c/</w:t>
      </w:r>
      <w:r>
        <w:rPr>
          <w:rFonts w:hint="eastAsia"/>
        </w:rPr>
        <w:t>件</w:t>
      </w:r>
      <w:r>
        <w:rPr>
          <w:rFonts w:hint="eastAsia"/>
        </w:rPr>
        <w:t>就可满足日常需求。</w:t>
      </w:r>
    </w:p>
    <w:p w:rsidR="00D846ED" w:rsidRDefault="00207CF1">
      <w:pPr>
        <w:pStyle w:val="2"/>
        <w:numPr>
          <w:ilvl w:val="0"/>
          <w:numId w:val="3"/>
        </w:numPr>
        <w:spacing w:before="156" w:after="156"/>
        <w:rPr>
          <w:rFonts w:hint="default"/>
        </w:rPr>
      </w:pPr>
      <w:r>
        <w:lastRenderedPageBreak/>
        <w:t>耐光色牢度</w:t>
      </w:r>
    </w:p>
    <w:p w:rsidR="00D846ED" w:rsidRDefault="00207CF1">
      <w:pPr>
        <w:ind w:firstLine="480"/>
      </w:pPr>
      <w:r>
        <w:rPr>
          <w:rFonts w:hint="eastAsia"/>
        </w:rPr>
        <w:t>海洋调查服装第</w:t>
      </w:r>
      <w:r>
        <w:rPr>
          <w:rFonts w:hint="eastAsia"/>
        </w:rPr>
        <w:t>1-13</w:t>
      </w:r>
      <w:r>
        <w:rPr>
          <w:rFonts w:hint="eastAsia"/>
        </w:rPr>
        <w:t>部分对产品的耐光色牢度都做了要求，要求耐光色牢度不低于</w:t>
      </w:r>
      <w:r>
        <w:rPr>
          <w:rFonts w:hint="eastAsia"/>
        </w:rPr>
        <w:t>5</w:t>
      </w:r>
      <w:r>
        <w:rPr>
          <w:rFonts w:hint="eastAsia"/>
        </w:rPr>
        <w:t>级。对于常规服饰产品一般耐光色牢度达到</w:t>
      </w:r>
      <w:r>
        <w:rPr>
          <w:rFonts w:hint="eastAsia"/>
        </w:rPr>
        <w:t>4</w:t>
      </w:r>
      <w:r>
        <w:rPr>
          <w:rFonts w:hint="eastAsia"/>
        </w:rPr>
        <w:t>级（含）以上就属于优等品（参照表</w:t>
      </w:r>
      <w:r>
        <w:rPr>
          <w:rFonts w:hint="eastAsia"/>
        </w:rPr>
        <w:t>1</w:t>
      </w:r>
      <w:r>
        <w:rPr>
          <w:rFonts w:hint="eastAsia"/>
        </w:rPr>
        <w:t>），耐光色牢度属于上等，对于海洋调查服装考虑到穿着场合的光照辐射较高，所以对服装的色牢度要求也较高。</w:t>
      </w:r>
    </w:p>
    <w:tbl>
      <w:tblPr>
        <w:tblStyle w:val="a5"/>
        <w:tblpPr w:leftFromText="180" w:rightFromText="180" w:vertAnchor="text" w:horzAnchor="page" w:tblpXSpec="center" w:tblpY="466"/>
        <w:tblOverlap w:val="never"/>
        <w:tblW w:w="0" w:type="auto"/>
        <w:jc w:val="center"/>
        <w:tblLook w:val="04A0" w:firstRow="1" w:lastRow="0" w:firstColumn="1" w:lastColumn="0" w:noHBand="0" w:noVBand="1"/>
      </w:tblPr>
      <w:tblGrid>
        <w:gridCol w:w="1410"/>
        <w:gridCol w:w="1376"/>
        <w:gridCol w:w="1377"/>
        <w:gridCol w:w="1377"/>
        <w:gridCol w:w="1378"/>
        <w:gridCol w:w="1378"/>
      </w:tblGrid>
      <w:tr w:rsidR="00D846ED">
        <w:trPr>
          <w:jc w:val="center"/>
        </w:trPr>
        <w:tc>
          <w:tcPr>
            <w:tcW w:w="8522" w:type="dxa"/>
            <w:gridSpan w:val="6"/>
            <w:tcBorders>
              <w:top w:val="nil"/>
              <w:left w:val="nil"/>
              <w:right w:val="nil"/>
            </w:tcBorders>
            <w:vAlign w:val="center"/>
          </w:tcPr>
          <w:p w:rsidR="00D846ED" w:rsidRDefault="00207CF1">
            <w:pPr>
              <w:ind w:firstLine="420"/>
              <w:jc w:val="center"/>
              <w:rPr>
                <w:sz w:val="21"/>
                <w:szCs w:val="21"/>
              </w:rPr>
            </w:pPr>
            <w:r>
              <w:rPr>
                <w:rFonts w:hint="eastAsia"/>
                <w:sz w:val="21"/>
                <w:szCs w:val="21"/>
              </w:rPr>
              <w:t>表</w:t>
            </w:r>
            <w:r>
              <w:rPr>
                <w:rFonts w:hint="eastAsia"/>
                <w:sz w:val="21"/>
                <w:szCs w:val="21"/>
              </w:rPr>
              <w:t>1</w:t>
            </w:r>
            <w:r>
              <w:rPr>
                <w:rFonts w:hint="eastAsia"/>
                <w:sz w:val="21"/>
                <w:szCs w:val="21"/>
              </w:rPr>
              <w:t>常规服装的耐光色牢度指标</w:t>
            </w:r>
          </w:p>
        </w:tc>
      </w:tr>
      <w:tr w:rsidR="00D846ED">
        <w:trPr>
          <w:jc w:val="center"/>
        </w:trPr>
        <w:tc>
          <w:tcPr>
            <w:tcW w:w="1420" w:type="dxa"/>
            <w:vAlign w:val="center"/>
          </w:tcPr>
          <w:p w:rsidR="00D846ED" w:rsidRDefault="00207CF1">
            <w:pPr>
              <w:ind w:firstLineChars="0" w:firstLine="0"/>
              <w:jc w:val="center"/>
              <w:rPr>
                <w:sz w:val="21"/>
                <w:szCs w:val="21"/>
              </w:rPr>
            </w:pPr>
            <w:r>
              <w:rPr>
                <w:rFonts w:hint="eastAsia"/>
                <w:sz w:val="21"/>
                <w:szCs w:val="21"/>
              </w:rPr>
              <w:t>标准名称</w:t>
            </w:r>
          </w:p>
        </w:tc>
        <w:tc>
          <w:tcPr>
            <w:tcW w:w="2840" w:type="dxa"/>
            <w:gridSpan w:val="2"/>
            <w:vAlign w:val="center"/>
          </w:tcPr>
          <w:p w:rsidR="00D846ED" w:rsidRDefault="00207CF1">
            <w:pPr>
              <w:ind w:firstLineChars="0" w:firstLine="0"/>
              <w:jc w:val="center"/>
              <w:rPr>
                <w:sz w:val="21"/>
                <w:szCs w:val="21"/>
              </w:rPr>
            </w:pPr>
            <w:r>
              <w:rPr>
                <w:rFonts w:hint="eastAsia"/>
                <w:sz w:val="21"/>
                <w:szCs w:val="21"/>
              </w:rPr>
              <w:t>项目</w:t>
            </w:r>
          </w:p>
        </w:tc>
        <w:tc>
          <w:tcPr>
            <w:tcW w:w="1420" w:type="dxa"/>
            <w:vAlign w:val="center"/>
          </w:tcPr>
          <w:p w:rsidR="00D846ED" w:rsidRDefault="00207CF1">
            <w:pPr>
              <w:ind w:firstLineChars="0" w:firstLine="0"/>
              <w:jc w:val="center"/>
              <w:rPr>
                <w:sz w:val="21"/>
                <w:szCs w:val="21"/>
              </w:rPr>
            </w:pPr>
            <w:r>
              <w:rPr>
                <w:rFonts w:hint="eastAsia"/>
                <w:sz w:val="21"/>
                <w:szCs w:val="21"/>
              </w:rPr>
              <w:t>优等品</w:t>
            </w:r>
          </w:p>
        </w:tc>
        <w:tc>
          <w:tcPr>
            <w:tcW w:w="1421" w:type="dxa"/>
            <w:vAlign w:val="center"/>
          </w:tcPr>
          <w:p w:rsidR="00D846ED" w:rsidRDefault="00207CF1">
            <w:pPr>
              <w:ind w:firstLineChars="0" w:firstLine="0"/>
              <w:jc w:val="center"/>
              <w:rPr>
                <w:sz w:val="21"/>
                <w:szCs w:val="21"/>
              </w:rPr>
            </w:pPr>
            <w:r>
              <w:rPr>
                <w:rFonts w:hint="eastAsia"/>
                <w:sz w:val="21"/>
                <w:szCs w:val="21"/>
              </w:rPr>
              <w:t>一等</w:t>
            </w:r>
            <w:r>
              <w:rPr>
                <w:rFonts w:hint="eastAsia"/>
                <w:sz w:val="21"/>
                <w:szCs w:val="21"/>
              </w:rPr>
              <w:t>品</w:t>
            </w:r>
          </w:p>
        </w:tc>
        <w:tc>
          <w:tcPr>
            <w:tcW w:w="1421" w:type="dxa"/>
            <w:vAlign w:val="center"/>
          </w:tcPr>
          <w:p w:rsidR="00D846ED" w:rsidRDefault="00207CF1">
            <w:pPr>
              <w:ind w:firstLineChars="0" w:firstLine="0"/>
              <w:jc w:val="center"/>
              <w:rPr>
                <w:sz w:val="21"/>
                <w:szCs w:val="21"/>
              </w:rPr>
            </w:pPr>
            <w:r>
              <w:rPr>
                <w:rFonts w:hint="eastAsia"/>
                <w:sz w:val="21"/>
                <w:szCs w:val="21"/>
              </w:rPr>
              <w:t>合格品</w:t>
            </w:r>
          </w:p>
        </w:tc>
      </w:tr>
      <w:tr w:rsidR="00D846ED">
        <w:trPr>
          <w:jc w:val="center"/>
        </w:trPr>
        <w:tc>
          <w:tcPr>
            <w:tcW w:w="1420" w:type="dxa"/>
            <w:vMerge w:val="restart"/>
            <w:vAlign w:val="center"/>
          </w:tcPr>
          <w:p w:rsidR="00D846ED" w:rsidRDefault="00207CF1">
            <w:pPr>
              <w:ind w:firstLineChars="0" w:firstLine="0"/>
              <w:jc w:val="center"/>
              <w:rPr>
                <w:sz w:val="21"/>
                <w:szCs w:val="21"/>
              </w:rPr>
            </w:pPr>
            <w:r>
              <w:rPr>
                <w:rFonts w:hint="eastAsia"/>
                <w:sz w:val="21"/>
                <w:szCs w:val="21"/>
              </w:rPr>
              <w:t>FZ/T81007</w:t>
            </w:r>
            <w:r>
              <w:rPr>
                <w:rFonts w:hint="eastAsia"/>
                <w:sz w:val="21"/>
                <w:szCs w:val="21"/>
              </w:rPr>
              <w:t>单</w:t>
            </w:r>
            <w:proofErr w:type="gramStart"/>
            <w:r>
              <w:rPr>
                <w:rFonts w:hint="eastAsia"/>
                <w:sz w:val="21"/>
                <w:szCs w:val="21"/>
              </w:rPr>
              <w:t>夹服装</w:t>
            </w:r>
            <w:proofErr w:type="gramEnd"/>
          </w:p>
        </w:tc>
        <w:tc>
          <w:tcPr>
            <w:tcW w:w="1420" w:type="dxa"/>
            <w:vMerge w:val="restart"/>
            <w:vAlign w:val="center"/>
          </w:tcPr>
          <w:p w:rsidR="00D846ED" w:rsidRDefault="00207CF1">
            <w:pPr>
              <w:ind w:firstLineChars="0" w:firstLine="0"/>
              <w:jc w:val="center"/>
              <w:rPr>
                <w:sz w:val="21"/>
                <w:szCs w:val="21"/>
              </w:rPr>
            </w:pPr>
            <w:r>
              <w:rPr>
                <w:rFonts w:hint="eastAsia"/>
                <w:sz w:val="21"/>
                <w:szCs w:val="21"/>
              </w:rPr>
              <w:t>耐光色牢度</w:t>
            </w:r>
          </w:p>
        </w:tc>
        <w:tc>
          <w:tcPr>
            <w:tcW w:w="1420" w:type="dxa"/>
            <w:vAlign w:val="center"/>
          </w:tcPr>
          <w:p w:rsidR="00D846ED" w:rsidRDefault="00207CF1">
            <w:pPr>
              <w:ind w:firstLineChars="0" w:firstLine="0"/>
              <w:jc w:val="center"/>
              <w:rPr>
                <w:sz w:val="21"/>
                <w:szCs w:val="21"/>
              </w:rPr>
            </w:pPr>
            <w:r>
              <w:rPr>
                <w:rFonts w:hint="eastAsia"/>
                <w:sz w:val="21"/>
                <w:szCs w:val="21"/>
              </w:rPr>
              <w:t>深色≥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Merge/>
            <w:vAlign w:val="center"/>
          </w:tcPr>
          <w:p w:rsidR="00D846ED" w:rsidRDefault="00D846ED">
            <w:pPr>
              <w:ind w:firstLineChars="0" w:firstLine="0"/>
              <w:jc w:val="center"/>
              <w:rPr>
                <w:sz w:val="21"/>
                <w:szCs w:val="21"/>
              </w:rPr>
            </w:pPr>
          </w:p>
        </w:tc>
        <w:tc>
          <w:tcPr>
            <w:tcW w:w="1420" w:type="dxa"/>
            <w:vMerge/>
            <w:vAlign w:val="center"/>
          </w:tcPr>
          <w:p w:rsidR="00D846ED" w:rsidRDefault="00D846ED">
            <w:pPr>
              <w:ind w:firstLineChars="0" w:firstLine="0"/>
              <w:jc w:val="center"/>
              <w:rPr>
                <w:sz w:val="21"/>
                <w:szCs w:val="21"/>
              </w:rPr>
            </w:pPr>
          </w:p>
        </w:tc>
        <w:tc>
          <w:tcPr>
            <w:tcW w:w="1420" w:type="dxa"/>
            <w:vAlign w:val="center"/>
          </w:tcPr>
          <w:p w:rsidR="00D846ED" w:rsidRDefault="00207CF1">
            <w:pPr>
              <w:ind w:firstLineChars="0" w:firstLine="0"/>
              <w:jc w:val="center"/>
              <w:rPr>
                <w:sz w:val="21"/>
                <w:szCs w:val="21"/>
              </w:rPr>
            </w:pPr>
            <w:r>
              <w:rPr>
                <w:rFonts w:hint="eastAsia"/>
                <w:sz w:val="21"/>
                <w:szCs w:val="21"/>
              </w:rPr>
              <w:t>浅色≥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3</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Align w:val="center"/>
          </w:tcPr>
          <w:p w:rsidR="00D846ED" w:rsidRDefault="00207CF1">
            <w:pPr>
              <w:ind w:firstLineChars="0" w:firstLine="0"/>
              <w:jc w:val="center"/>
              <w:rPr>
                <w:sz w:val="21"/>
                <w:szCs w:val="21"/>
              </w:rPr>
            </w:pPr>
            <w:r>
              <w:rPr>
                <w:rFonts w:hint="eastAsia"/>
                <w:sz w:val="21"/>
                <w:szCs w:val="21"/>
              </w:rPr>
              <w:t>GB/T2660</w:t>
            </w:r>
            <w:r>
              <w:rPr>
                <w:rFonts w:hint="eastAsia"/>
                <w:sz w:val="21"/>
                <w:szCs w:val="21"/>
              </w:rPr>
              <w:t>衬衫</w:t>
            </w:r>
          </w:p>
        </w:tc>
        <w:tc>
          <w:tcPr>
            <w:tcW w:w="1420" w:type="dxa"/>
            <w:vAlign w:val="center"/>
          </w:tcPr>
          <w:p w:rsidR="00D846ED" w:rsidRDefault="00207CF1">
            <w:pPr>
              <w:ind w:firstLineChars="0" w:firstLine="0"/>
              <w:jc w:val="center"/>
              <w:rPr>
                <w:sz w:val="21"/>
                <w:szCs w:val="21"/>
              </w:rPr>
            </w:pPr>
            <w:r>
              <w:rPr>
                <w:rFonts w:hint="eastAsia"/>
                <w:sz w:val="21"/>
                <w:szCs w:val="21"/>
              </w:rPr>
              <w:t>耐光色牢度</w:t>
            </w:r>
          </w:p>
        </w:tc>
        <w:tc>
          <w:tcPr>
            <w:tcW w:w="1420" w:type="dxa"/>
            <w:vAlign w:val="center"/>
          </w:tcPr>
          <w:p w:rsidR="00D846ED" w:rsidRDefault="00207CF1">
            <w:pPr>
              <w:ind w:firstLineChars="0" w:firstLine="0"/>
              <w:jc w:val="center"/>
              <w:rPr>
                <w:sz w:val="21"/>
                <w:szCs w:val="21"/>
              </w:rPr>
            </w:pPr>
            <w:r>
              <w:rPr>
                <w:rFonts w:hint="eastAsia"/>
                <w:sz w:val="21"/>
                <w:szCs w:val="21"/>
              </w:rPr>
              <w:t>≥</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2842" w:type="dxa"/>
            <w:gridSpan w:val="2"/>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Merge w:val="restart"/>
            <w:vAlign w:val="center"/>
          </w:tcPr>
          <w:p w:rsidR="00D846ED" w:rsidRDefault="00207CF1">
            <w:pPr>
              <w:ind w:firstLineChars="0" w:firstLine="0"/>
              <w:jc w:val="center"/>
              <w:rPr>
                <w:sz w:val="21"/>
                <w:szCs w:val="21"/>
              </w:rPr>
            </w:pPr>
            <w:r>
              <w:rPr>
                <w:rFonts w:hint="eastAsia"/>
                <w:sz w:val="21"/>
                <w:szCs w:val="21"/>
              </w:rPr>
              <w:t xml:space="preserve">GB/T73043 </w:t>
            </w:r>
            <w:r>
              <w:rPr>
                <w:rFonts w:hint="eastAsia"/>
                <w:sz w:val="21"/>
                <w:szCs w:val="21"/>
              </w:rPr>
              <w:t>针织衬衫</w:t>
            </w:r>
          </w:p>
        </w:tc>
        <w:tc>
          <w:tcPr>
            <w:tcW w:w="1420" w:type="dxa"/>
            <w:vMerge w:val="restart"/>
            <w:vAlign w:val="center"/>
          </w:tcPr>
          <w:p w:rsidR="00D846ED" w:rsidRDefault="00207CF1">
            <w:pPr>
              <w:ind w:firstLineChars="0" w:firstLine="0"/>
              <w:jc w:val="center"/>
              <w:rPr>
                <w:sz w:val="21"/>
                <w:szCs w:val="21"/>
              </w:rPr>
            </w:pPr>
            <w:r>
              <w:rPr>
                <w:rFonts w:hint="eastAsia"/>
                <w:sz w:val="21"/>
                <w:szCs w:val="21"/>
              </w:rPr>
              <w:t>耐光色牢度</w:t>
            </w:r>
          </w:p>
        </w:tc>
        <w:tc>
          <w:tcPr>
            <w:tcW w:w="1420" w:type="dxa"/>
            <w:vAlign w:val="center"/>
          </w:tcPr>
          <w:p w:rsidR="00D846ED" w:rsidRDefault="00207CF1">
            <w:pPr>
              <w:ind w:firstLineChars="0" w:firstLine="0"/>
              <w:jc w:val="center"/>
              <w:rPr>
                <w:sz w:val="21"/>
                <w:szCs w:val="21"/>
              </w:rPr>
            </w:pPr>
            <w:r>
              <w:rPr>
                <w:rFonts w:hint="eastAsia"/>
                <w:sz w:val="21"/>
                <w:szCs w:val="21"/>
              </w:rPr>
              <w:t>深色≥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r>
      <w:tr w:rsidR="00D846ED">
        <w:trPr>
          <w:jc w:val="center"/>
        </w:trPr>
        <w:tc>
          <w:tcPr>
            <w:tcW w:w="1420" w:type="dxa"/>
            <w:vMerge/>
            <w:vAlign w:val="center"/>
          </w:tcPr>
          <w:p w:rsidR="00D846ED" w:rsidRDefault="00D846ED">
            <w:pPr>
              <w:ind w:firstLineChars="0" w:firstLine="0"/>
              <w:jc w:val="center"/>
              <w:rPr>
                <w:sz w:val="21"/>
                <w:szCs w:val="21"/>
              </w:rPr>
            </w:pPr>
          </w:p>
        </w:tc>
        <w:tc>
          <w:tcPr>
            <w:tcW w:w="1420" w:type="dxa"/>
            <w:vMerge/>
            <w:vAlign w:val="center"/>
          </w:tcPr>
          <w:p w:rsidR="00D846ED" w:rsidRDefault="00D846ED">
            <w:pPr>
              <w:ind w:firstLineChars="0" w:firstLine="0"/>
              <w:jc w:val="center"/>
              <w:rPr>
                <w:sz w:val="21"/>
                <w:szCs w:val="21"/>
              </w:rPr>
            </w:pPr>
          </w:p>
        </w:tc>
        <w:tc>
          <w:tcPr>
            <w:tcW w:w="1420" w:type="dxa"/>
            <w:vAlign w:val="center"/>
          </w:tcPr>
          <w:p w:rsidR="00D846ED" w:rsidRDefault="00207CF1">
            <w:pPr>
              <w:ind w:firstLineChars="0" w:firstLine="0"/>
              <w:jc w:val="center"/>
              <w:rPr>
                <w:sz w:val="21"/>
                <w:szCs w:val="21"/>
              </w:rPr>
            </w:pPr>
            <w:r>
              <w:rPr>
                <w:rFonts w:hint="eastAsia"/>
                <w:sz w:val="21"/>
                <w:szCs w:val="21"/>
              </w:rPr>
              <w:t>浅色≥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3</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Merge w:val="restart"/>
            <w:vAlign w:val="center"/>
          </w:tcPr>
          <w:p w:rsidR="00D846ED" w:rsidRDefault="00207CF1">
            <w:pPr>
              <w:ind w:firstLineChars="0" w:firstLine="0"/>
              <w:jc w:val="center"/>
              <w:rPr>
                <w:sz w:val="21"/>
                <w:szCs w:val="21"/>
              </w:rPr>
            </w:pPr>
            <w:r>
              <w:rPr>
                <w:rFonts w:hint="eastAsia"/>
                <w:sz w:val="21"/>
                <w:szCs w:val="21"/>
              </w:rPr>
              <w:t>GB/T2664</w:t>
            </w:r>
            <w:r>
              <w:rPr>
                <w:rFonts w:hint="eastAsia"/>
                <w:sz w:val="21"/>
                <w:szCs w:val="21"/>
              </w:rPr>
              <w:t>男西服大衣</w:t>
            </w:r>
          </w:p>
        </w:tc>
        <w:tc>
          <w:tcPr>
            <w:tcW w:w="1420" w:type="dxa"/>
            <w:vAlign w:val="center"/>
          </w:tcPr>
          <w:p w:rsidR="00D846ED" w:rsidRDefault="00207CF1">
            <w:pPr>
              <w:ind w:firstLineChars="0" w:firstLine="0"/>
              <w:jc w:val="center"/>
              <w:rPr>
                <w:sz w:val="21"/>
                <w:szCs w:val="21"/>
              </w:rPr>
            </w:pPr>
            <w:r>
              <w:rPr>
                <w:rFonts w:hint="eastAsia"/>
                <w:sz w:val="21"/>
                <w:szCs w:val="21"/>
              </w:rPr>
              <w:t>耐光色牢度</w:t>
            </w:r>
          </w:p>
        </w:tc>
        <w:tc>
          <w:tcPr>
            <w:tcW w:w="1420" w:type="dxa"/>
            <w:vAlign w:val="center"/>
          </w:tcPr>
          <w:p w:rsidR="00D846ED" w:rsidRDefault="00207CF1">
            <w:pPr>
              <w:ind w:firstLineChars="0" w:firstLine="0"/>
              <w:jc w:val="center"/>
              <w:rPr>
                <w:sz w:val="21"/>
                <w:szCs w:val="21"/>
              </w:rPr>
            </w:pPr>
            <w:r>
              <w:rPr>
                <w:rFonts w:hint="eastAsia"/>
                <w:sz w:val="21"/>
                <w:szCs w:val="21"/>
              </w:rPr>
              <w:t>深色≥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Merge/>
            <w:vAlign w:val="center"/>
          </w:tcPr>
          <w:p w:rsidR="00D846ED" w:rsidRDefault="00D846ED">
            <w:pPr>
              <w:ind w:firstLineChars="0" w:firstLine="0"/>
              <w:jc w:val="center"/>
              <w:rPr>
                <w:sz w:val="21"/>
                <w:szCs w:val="21"/>
              </w:rPr>
            </w:pPr>
          </w:p>
        </w:tc>
        <w:tc>
          <w:tcPr>
            <w:tcW w:w="1420" w:type="dxa"/>
            <w:vAlign w:val="center"/>
          </w:tcPr>
          <w:p w:rsidR="00D846ED" w:rsidRDefault="00D846ED">
            <w:pPr>
              <w:ind w:firstLineChars="0" w:firstLine="0"/>
              <w:jc w:val="center"/>
              <w:rPr>
                <w:sz w:val="21"/>
                <w:szCs w:val="21"/>
              </w:rPr>
            </w:pPr>
          </w:p>
        </w:tc>
        <w:tc>
          <w:tcPr>
            <w:tcW w:w="1420" w:type="dxa"/>
            <w:vAlign w:val="center"/>
          </w:tcPr>
          <w:p w:rsidR="00D846ED" w:rsidRDefault="00207CF1">
            <w:pPr>
              <w:ind w:firstLineChars="0" w:firstLine="0"/>
              <w:jc w:val="center"/>
              <w:rPr>
                <w:sz w:val="21"/>
                <w:szCs w:val="21"/>
              </w:rPr>
            </w:pPr>
            <w:r>
              <w:rPr>
                <w:rFonts w:hint="eastAsia"/>
                <w:sz w:val="21"/>
                <w:szCs w:val="21"/>
              </w:rPr>
              <w:t>浅色≥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3</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r w:rsidR="00D846ED">
        <w:trPr>
          <w:jc w:val="center"/>
        </w:trPr>
        <w:tc>
          <w:tcPr>
            <w:tcW w:w="1420" w:type="dxa"/>
            <w:vMerge w:val="restart"/>
            <w:vAlign w:val="center"/>
          </w:tcPr>
          <w:p w:rsidR="00D846ED" w:rsidRDefault="00207CF1">
            <w:pPr>
              <w:ind w:firstLineChars="0" w:firstLine="0"/>
              <w:jc w:val="center"/>
              <w:rPr>
                <w:sz w:val="21"/>
                <w:szCs w:val="21"/>
              </w:rPr>
            </w:pPr>
            <w:r>
              <w:rPr>
                <w:rFonts w:hint="eastAsia"/>
                <w:sz w:val="21"/>
                <w:szCs w:val="21"/>
              </w:rPr>
              <w:t>FZ/T73018</w:t>
            </w:r>
            <w:r>
              <w:rPr>
                <w:rFonts w:hint="eastAsia"/>
                <w:sz w:val="21"/>
                <w:szCs w:val="21"/>
              </w:rPr>
              <w:t>毛针织品</w:t>
            </w:r>
          </w:p>
        </w:tc>
        <w:tc>
          <w:tcPr>
            <w:tcW w:w="1420" w:type="dxa"/>
            <w:vMerge w:val="restart"/>
            <w:vAlign w:val="center"/>
          </w:tcPr>
          <w:p w:rsidR="00D846ED" w:rsidRDefault="00207CF1">
            <w:pPr>
              <w:ind w:firstLineChars="0" w:firstLine="0"/>
              <w:jc w:val="center"/>
              <w:rPr>
                <w:sz w:val="21"/>
                <w:szCs w:val="21"/>
              </w:rPr>
            </w:pPr>
            <w:r>
              <w:rPr>
                <w:rFonts w:hint="eastAsia"/>
                <w:sz w:val="21"/>
                <w:szCs w:val="21"/>
              </w:rPr>
              <w:t>耐光色牢度</w:t>
            </w:r>
          </w:p>
        </w:tc>
        <w:tc>
          <w:tcPr>
            <w:tcW w:w="1420" w:type="dxa"/>
            <w:vAlign w:val="center"/>
          </w:tcPr>
          <w:p w:rsidR="00D846ED" w:rsidRDefault="00207CF1">
            <w:pPr>
              <w:ind w:firstLineChars="0" w:firstLine="0"/>
              <w:jc w:val="center"/>
              <w:rPr>
                <w:sz w:val="21"/>
                <w:szCs w:val="21"/>
              </w:rPr>
            </w:pPr>
            <w:r>
              <w:rPr>
                <w:rFonts w:hint="eastAsia"/>
                <w:sz w:val="21"/>
                <w:szCs w:val="21"/>
              </w:rPr>
              <w:t>深色≥</w:t>
            </w:r>
          </w:p>
        </w:tc>
        <w:tc>
          <w:tcPr>
            <w:tcW w:w="1420"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c>
          <w:tcPr>
            <w:tcW w:w="1421" w:type="dxa"/>
            <w:vAlign w:val="center"/>
          </w:tcPr>
          <w:p w:rsidR="00D846ED" w:rsidRDefault="00207CF1">
            <w:pPr>
              <w:ind w:firstLineChars="0" w:firstLine="0"/>
              <w:jc w:val="center"/>
              <w:rPr>
                <w:sz w:val="21"/>
                <w:szCs w:val="21"/>
              </w:rPr>
            </w:pPr>
            <w:r>
              <w:rPr>
                <w:rFonts w:hint="eastAsia"/>
                <w:sz w:val="21"/>
                <w:szCs w:val="21"/>
              </w:rPr>
              <w:t>4</w:t>
            </w:r>
          </w:p>
        </w:tc>
      </w:tr>
      <w:tr w:rsidR="00D846ED">
        <w:trPr>
          <w:jc w:val="center"/>
        </w:trPr>
        <w:tc>
          <w:tcPr>
            <w:tcW w:w="1420" w:type="dxa"/>
            <w:vMerge/>
            <w:vAlign w:val="center"/>
          </w:tcPr>
          <w:p w:rsidR="00D846ED" w:rsidRDefault="00D846ED">
            <w:pPr>
              <w:ind w:firstLineChars="0" w:firstLine="0"/>
              <w:jc w:val="center"/>
              <w:rPr>
                <w:sz w:val="21"/>
                <w:szCs w:val="21"/>
              </w:rPr>
            </w:pPr>
          </w:p>
        </w:tc>
        <w:tc>
          <w:tcPr>
            <w:tcW w:w="1420" w:type="dxa"/>
            <w:vMerge/>
            <w:vAlign w:val="center"/>
          </w:tcPr>
          <w:p w:rsidR="00D846ED" w:rsidRDefault="00D846ED">
            <w:pPr>
              <w:ind w:firstLineChars="0" w:firstLine="0"/>
              <w:jc w:val="center"/>
              <w:rPr>
                <w:sz w:val="21"/>
                <w:szCs w:val="21"/>
              </w:rPr>
            </w:pPr>
          </w:p>
        </w:tc>
        <w:tc>
          <w:tcPr>
            <w:tcW w:w="1420" w:type="dxa"/>
            <w:vAlign w:val="center"/>
          </w:tcPr>
          <w:p w:rsidR="00D846ED" w:rsidRDefault="00207CF1">
            <w:pPr>
              <w:ind w:firstLineChars="0" w:firstLine="0"/>
              <w:jc w:val="center"/>
              <w:rPr>
                <w:sz w:val="21"/>
                <w:szCs w:val="21"/>
              </w:rPr>
            </w:pPr>
            <w:r>
              <w:rPr>
                <w:rFonts w:hint="eastAsia"/>
                <w:sz w:val="21"/>
                <w:szCs w:val="21"/>
              </w:rPr>
              <w:t>浅色≥</w:t>
            </w:r>
          </w:p>
        </w:tc>
        <w:tc>
          <w:tcPr>
            <w:tcW w:w="1420" w:type="dxa"/>
            <w:vAlign w:val="center"/>
          </w:tcPr>
          <w:p w:rsidR="00D846ED" w:rsidRDefault="00207CF1">
            <w:pPr>
              <w:ind w:firstLineChars="0" w:firstLine="0"/>
              <w:jc w:val="center"/>
              <w:rPr>
                <w:sz w:val="21"/>
                <w:szCs w:val="21"/>
              </w:rPr>
            </w:pPr>
            <w:r>
              <w:rPr>
                <w:rFonts w:hint="eastAsia"/>
                <w:sz w:val="21"/>
                <w:szCs w:val="21"/>
              </w:rPr>
              <w:t>3</w:t>
            </w:r>
          </w:p>
        </w:tc>
        <w:tc>
          <w:tcPr>
            <w:tcW w:w="1421" w:type="dxa"/>
            <w:vAlign w:val="center"/>
          </w:tcPr>
          <w:p w:rsidR="00D846ED" w:rsidRDefault="00207CF1">
            <w:pPr>
              <w:ind w:firstLineChars="0" w:firstLine="0"/>
              <w:jc w:val="center"/>
              <w:rPr>
                <w:sz w:val="21"/>
                <w:szCs w:val="21"/>
              </w:rPr>
            </w:pPr>
            <w:r>
              <w:rPr>
                <w:rFonts w:hint="eastAsia"/>
                <w:sz w:val="21"/>
                <w:szCs w:val="21"/>
              </w:rPr>
              <w:t>3</w:t>
            </w:r>
          </w:p>
        </w:tc>
        <w:tc>
          <w:tcPr>
            <w:tcW w:w="1421" w:type="dxa"/>
            <w:vAlign w:val="center"/>
          </w:tcPr>
          <w:p w:rsidR="00D846ED" w:rsidRDefault="00207CF1">
            <w:pPr>
              <w:ind w:firstLineChars="0" w:firstLine="0"/>
              <w:jc w:val="center"/>
              <w:rPr>
                <w:sz w:val="21"/>
                <w:szCs w:val="21"/>
              </w:rPr>
            </w:pPr>
            <w:r>
              <w:rPr>
                <w:rFonts w:hint="eastAsia"/>
                <w:sz w:val="21"/>
                <w:szCs w:val="21"/>
              </w:rPr>
              <w:t>3</w:t>
            </w:r>
          </w:p>
        </w:tc>
      </w:tr>
    </w:tbl>
    <w:p w:rsidR="00D846ED" w:rsidRDefault="00207CF1">
      <w:pPr>
        <w:pStyle w:val="2"/>
        <w:numPr>
          <w:ilvl w:val="0"/>
          <w:numId w:val="3"/>
        </w:numPr>
        <w:spacing w:before="156" w:after="156"/>
        <w:rPr>
          <w:rFonts w:hint="default"/>
        </w:rPr>
      </w:pPr>
      <w:r>
        <w:t>速干指标</w:t>
      </w:r>
    </w:p>
    <w:p w:rsidR="00D846ED" w:rsidRDefault="00207CF1">
      <w:pPr>
        <w:ind w:firstLine="480"/>
      </w:pPr>
      <w:r>
        <w:rPr>
          <w:rFonts w:hint="eastAsia"/>
        </w:rPr>
        <w:t>海洋调查服装系列标准中第</w:t>
      </w:r>
      <w:r>
        <w:rPr>
          <w:rFonts w:hint="eastAsia"/>
        </w:rPr>
        <w:t>8</w:t>
      </w:r>
      <w:r>
        <w:rPr>
          <w:rFonts w:hint="eastAsia"/>
        </w:rPr>
        <w:t>项和第</w:t>
      </w:r>
      <w:r>
        <w:rPr>
          <w:rFonts w:hint="eastAsia"/>
        </w:rPr>
        <w:t>9</w:t>
      </w:r>
      <w:r>
        <w:rPr>
          <w:rFonts w:hint="eastAsia"/>
        </w:rPr>
        <w:t>项属于速干系列产品，所以产品中增加了速干指标：蒸发速率和透视量的要求，并规定两项指标符合</w:t>
      </w:r>
      <w:r>
        <w:rPr>
          <w:rFonts w:hint="eastAsia"/>
        </w:rPr>
        <w:t>GB/T21655.1</w:t>
      </w:r>
      <w:r>
        <w:rPr>
          <w:rFonts w:hint="eastAsia"/>
        </w:rPr>
        <w:t>的相关规定。</w:t>
      </w:r>
      <w:r>
        <w:rPr>
          <w:rFonts w:hint="eastAsia"/>
        </w:rPr>
        <w:t>GB/T21655.1</w:t>
      </w:r>
      <w:r>
        <w:rPr>
          <w:rFonts w:hint="eastAsia"/>
        </w:rPr>
        <w:t>标准名称为纺织品吸湿速干性的评定第</w:t>
      </w:r>
      <w:r>
        <w:rPr>
          <w:rFonts w:hint="eastAsia"/>
        </w:rPr>
        <w:t>1</w:t>
      </w:r>
      <w:r>
        <w:rPr>
          <w:rFonts w:hint="eastAsia"/>
        </w:rPr>
        <w:t>部分单向组合试验法，该标准规定了纺织品吸湿速干性能的单项试验指标组合的测试方法及评价指标，适用于各类纺织品及其制品，标准中对针织品和机织品的速干性分别</w:t>
      </w:r>
      <w:proofErr w:type="gramStart"/>
      <w:r>
        <w:rPr>
          <w:rFonts w:hint="eastAsia"/>
        </w:rPr>
        <w:t>作出</w:t>
      </w:r>
      <w:proofErr w:type="gramEnd"/>
      <w:r>
        <w:rPr>
          <w:rFonts w:hint="eastAsia"/>
        </w:rPr>
        <w:t>了明确的规定，如表</w:t>
      </w:r>
      <w:r>
        <w:rPr>
          <w:rFonts w:hint="eastAsia"/>
        </w:rPr>
        <w:t>2</w:t>
      </w:r>
      <w:r>
        <w:rPr>
          <w:rFonts w:hint="eastAsia"/>
        </w:rPr>
        <w:t>所示。考虑到海洋调查服装系列标准中的“速干</w:t>
      </w:r>
      <w:r>
        <w:rPr>
          <w:rFonts w:hint="eastAsia"/>
        </w:rPr>
        <w:t>T</w:t>
      </w:r>
      <w:r>
        <w:rPr>
          <w:rFonts w:hint="eastAsia"/>
        </w:rPr>
        <w:t>恤”和“速干衬衫套装”属于日常穿着用服饰，所以在考核这两类服饰的速干性时引用了</w:t>
      </w:r>
      <w:r>
        <w:rPr>
          <w:rFonts w:hint="eastAsia"/>
        </w:rPr>
        <w:t>G</w:t>
      </w:r>
      <w:r>
        <w:rPr>
          <w:rFonts w:hint="eastAsia"/>
        </w:rPr>
        <w:t>B/T21655.1</w:t>
      </w:r>
      <w:r>
        <w:rPr>
          <w:rFonts w:hint="eastAsia"/>
        </w:rPr>
        <w:t>中的速干性测试方法和考核指标。</w:t>
      </w:r>
    </w:p>
    <w:p w:rsidR="00D846ED" w:rsidRDefault="00207CF1">
      <w:pPr>
        <w:ind w:firstLine="420"/>
        <w:jc w:val="center"/>
        <w:rPr>
          <w:sz w:val="21"/>
          <w:szCs w:val="21"/>
        </w:rPr>
      </w:pPr>
      <w:r>
        <w:rPr>
          <w:rFonts w:hint="eastAsia"/>
          <w:sz w:val="21"/>
          <w:szCs w:val="21"/>
        </w:rPr>
        <w:lastRenderedPageBreak/>
        <w:t>表</w:t>
      </w:r>
      <w:r>
        <w:rPr>
          <w:rFonts w:hint="eastAsia"/>
          <w:sz w:val="21"/>
          <w:szCs w:val="21"/>
        </w:rPr>
        <w:t>2  GB/T21655.1</w:t>
      </w:r>
      <w:r>
        <w:rPr>
          <w:rFonts w:hint="eastAsia"/>
          <w:sz w:val="21"/>
          <w:szCs w:val="21"/>
        </w:rPr>
        <w:t>中速干性规定</w:t>
      </w:r>
    </w:p>
    <w:tbl>
      <w:tblPr>
        <w:tblStyle w:val="a5"/>
        <w:tblW w:w="0" w:type="auto"/>
        <w:tblLook w:val="04A0" w:firstRow="1" w:lastRow="0" w:firstColumn="1" w:lastColumn="0" w:noHBand="0" w:noVBand="1"/>
      </w:tblPr>
      <w:tblGrid>
        <w:gridCol w:w="2759"/>
        <w:gridCol w:w="2777"/>
        <w:gridCol w:w="2760"/>
      </w:tblGrid>
      <w:tr w:rsidR="00D846ED">
        <w:tc>
          <w:tcPr>
            <w:tcW w:w="5681" w:type="dxa"/>
            <w:gridSpan w:val="2"/>
            <w:vAlign w:val="center"/>
          </w:tcPr>
          <w:p w:rsidR="00D846ED" w:rsidRDefault="00207CF1">
            <w:pPr>
              <w:ind w:firstLine="420"/>
              <w:jc w:val="center"/>
              <w:rPr>
                <w:sz w:val="21"/>
                <w:szCs w:val="21"/>
              </w:rPr>
            </w:pPr>
            <w:r>
              <w:rPr>
                <w:rFonts w:hint="eastAsia"/>
                <w:sz w:val="21"/>
                <w:szCs w:val="21"/>
              </w:rPr>
              <w:t>项目</w:t>
            </w:r>
          </w:p>
        </w:tc>
        <w:tc>
          <w:tcPr>
            <w:tcW w:w="2841" w:type="dxa"/>
            <w:vAlign w:val="center"/>
          </w:tcPr>
          <w:p w:rsidR="00D846ED" w:rsidRDefault="00207CF1">
            <w:pPr>
              <w:ind w:firstLine="420"/>
              <w:jc w:val="center"/>
              <w:rPr>
                <w:sz w:val="21"/>
                <w:szCs w:val="21"/>
              </w:rPr>
            </w:pPr>
            <w:r>
              <w:rPr>
                <w:rFonts w:hint="eastAsia"/>
                <w:sz w:val="21"/>
                <w:szCs w:val="21"/>
              </w:rPr>
              <w:t>要求</w:t>
            </w:r>
          </w:p>
        </w:tc>
      </w:tr>
      <w:tr w:rsidR="00D846ED">
        <w:tc>
          <w:tcPr>
            <w:tcW w:w="2840" w:type="dxa"/>
            <w:vMerge w:val="restart"/>
            <w:vAlign w:val="center"/>
          </w:tcPr>
          <w:p w:rsidR="00D846ED" w:rsidRDefault="00207CF1">
            <w:pPr>
              <w:ind w:firstLine="420"/>
              <w:jc w:val="center"/>
              <w:rPr>
                <w:sz w:val="21"/>
                <w:szCs w:val="21"/>
              </w:rPr>
            </w:pPr>
            <w:r>
              <w:rPr>
                <w:rFonts w:hint="eastAsia"/>
                <w:sz w:val="21"/>
                <w:szCs w:val="21"/>
              </w:rPr>
              <w:t>针织类产品速干性</w:t>
            </w:r>
          </w:p>
        </w:tc>
        <w:tc>
          <w:tcPr>
            <w:tcW w:w="2841" w:type="dxa"/>
            <w:vAlign w:val="center"/>
          </w:tcPr>
          <w:p w:rsidR="00D846ED" w:rsidRDefault="00207CF1">
            <w:pPr>
              <w:ind w:firstLine="420"/>
              <w:jc w:val="center"/>
              <w:rPr>
                <w:sz w:val="21"/>
                <w:szCs w:val="21"/>
              </w:rPr>
            </w:pPr>
            <w:r>
              <w:rPr>
                <w:rFonts w:hint="eastAsia"/>
                <w:sz w:val="21"/>
                <w:szCs w:val="21"/>
              </w:rPr>
              <w:t>蒸发速率</w:t>
            </w:r>
            <w:r>
              <w:rPr>
                <w:rFonts w:hint="eastAsia"/>
                <w:sz w:val="21"/>
                <w:szCs w:val="21"/>
              </w:rPr>
              <w:t>/</w:t>
            </w:r>
            <w:r>
              <w:rPr>
                <w:rFonts w:hint="eastAsia"/>
                <w:sz w:val="21"/>
                <w:szCs w:val="21"/>
              </w:rPr>
              <w:t>（</w:t>
            </w:r>
            <w:r>
              <w:rPr>
                <w:rFonts w:hint="eastAsia"/>
                <w:sz w:val="21"/>
                <w:szCs w:val="21"/>
              </w:rPr>
              <w:t>g/h</w:t>
            </w:r>
            <w:r>
              <w:rPr>
                <w:rFonts w:hint="eastAsia"/>
                <w:sz w:val="21"/>
                <w:szCs w:val="21"/>
              </w:rPr>
              <w:t>）</w:t>
            </w:r>
          </w:p>
        </w:tc>
        <w:tc>
          <w:tcPr>
            <w:tcW w:w="2841" w:type="dxa"/>
            <w:vAlign w:val="center"/>
          </w:tcPr>
          <w:p w:rsidR="00D846ED" w:rsidRDefault="00207CF1">
            <w:pPr>
              <w:ind w:firstLine="420"/>
              <w:jc w:val="center"/>
              <w:rPr>
                <w:sz w:val="21"/>
                <w:szCs w:val="21"/>
              </w:rPr>
            </w:pPr>
            <w:r>
              <w:rPr>
                <w:rFonts w:hint="eastAsia"/>
                <w:sz w:val="21"/>
                <w:szCs w:val="21"/>
              </w:rPr>
              <w:t>≥</w:t>
            </w:r>
            <w:r>
              <w:rPr>
                <w:rFonts w:hint="eastAsia"/>
                <w:sz w:val="21"/>
                <w:szCs w:val="21"/>
              </w:rPr>
              <w:t>0.18</w:t>
            </w:r>
          </w:p>
        </w:tc>
      </w:tr>
      <w:tr w:rsidR="00D846ED">
        <w:tc>
          <w:tcPr>
            <w:tcW w:w="2840" w:type="dxa"/>
            <w:vMerge/>
            <w:vAlign w:val="center"/>
          </w:tcPr>
          <w:p w:rsidR="00D846ED" w:rsidRDefault="00D846ED">
            <w:pPr>
              <w:ind w:firstLine="420"/>
              <w:jc w:val="center"/>
              <w:rPr>
                <w:sz w:val="21"/>
                <w:szCs w:val="21"/>
              </w:rPr>
            </w:pPr>
          </w:p>
        </w:tc>
        <w:tc>
          <w:tcPr>
            <w:tcW w:w="2841" w:type="dxa"/>
            <w:vAlign w:val="center"/>
          </w:tcPr>
          <w:p w:rsidR="00D846ED" w:rsidRDefault="00207CF1">
            <w:pPr>
              <w:ind w:firstLine="420"/>
              <w:jc w:val="center"/>
              <w:rPr>
                <w:sz w:val="21"/>
                <w:szCs w:val="21"/>
              </w:rPr>
            </w:pPr>
            <w:r>
              <w:rPr>
                <w:rFonts w:hint="eastAsia"/>
                <w:sz w:val="21"/>
                <w:szCs w:val="21"/>
              </w:rPr>
              <w:t>透视量</w:t>
            </w:r>
            <w:r>
              <w:rPr>
                <w:rFonts w:hint="eastAsia"/>
                <w:sz w:val="21"/>
                <w:szCs w:val="21"/>
              </w:rPr>
              <w:t>/[g/</w:t>
            </w:r>
            <w:r>
              <w:rPr>
                <w:rFonts w:hint="eastAsia"/>
                <w:sz w:val="21"/>
                <w:szCs w:val="21"/>
              </w:rPr>
              <w:t>（</w:t>
            </w:r>
            <w:r>
              <w:rPr>
                <w:rFonts w:hint="eastAsia"/>
                <w:sz w:val="21"/>
                <w:szCs w:val="21"/>
              </w:rPr>
              <w:t>m</w:t>
            </w:r>
            <w:r>
              <w:rPr>
                <w:rFonts w:hint="eastAsia"/>
                <w:sz w:val="21"/>
                <w:szCs w:val="21"/>
                <w:vertAlign w:val="superscript"/>
              </w:rPr>
              <w:t>2</w:t>
            </w:r>
            <w:r>
              <w:rPr>
                <w:rFonts w:ascii="宋体" w:hAnsi="宋体" w:cs="宋体" w:hint="eastAsia"/>
                <w:sz w:val="21"/>
                <w:szCs w:val="21"/>
              </w:rPr>
              <w:t>·</w:t>
            </w:r>
            <w:r>
              <w:rPr>
                <w:rFonts w:hint="eastAsia"/>
                <w:sz w:val="21"/>
                <w:szCs w:val="21"/>
              </w:rPr>
              <w:t>d</w:t>
            </w:r>
            <w:r>
              <w:rPr>
                <w:rFonts w:hint="eastAsia"/>
                <w:sz w:val="21"/>
                <w:szCs w:val="21"/>
              </w:rPr>
              <w:t>）</w:t>
            </w:r>
            <w:r>
              <w:rPr>
                <w:rFonts w:hint="eastAsia"/>
                <w:sz w:val="21"/>
                <w:szCs w:val="21"/>
              </w:rPr>
              <w:t>]</w:t>
            </w:r>
          </w:p>
        </w:tc>
        <w:tc>
          <w:tcPr>
            <w:tcW w:w="2841" w:type="dxa"/>
            <w:vAlign w:val="center"/>
          </w:tcPr>
          <w:p w:rsidR="00D846ED" w:rsidRDefault="00207CF1">
            <w:pPr>
              <w:ind w:firstLine="420"/>
              <w:jc w:val="center"/>
              <w:rPr>
                <w:sz w:val="21"/>
                <w:szCs w:val="21"/>
              </w:rPr>
            </w:pPr>
            <w:r>
              <w:rPr>
                <w:rFonts w:hint="eastAsia"/>
                <w:sz w:val="21"/>
                <w:szCs w:val="21"/>
              </w:rPr>
              <w:t>≥</w:t>
            </w:r>
            <w:r>
              <w:rPr>
                <w:rFonts w:hint="eastAsia"/>
                <w:sz w:val="21"/>
                <w:szCs w:val="21"/>
              </w:rPr>
              <w:t>10000</w:t>
            </w:r>
          </w:p>
        </w:tc>
      </w:tr>
      <w:tr w:rsidR="00D846ED">
        <w:tc>
          <w:tcPr>
            <w:tcW w:w="2840" w:type="dxa"/>
            <w:vMerge w:val="restart"/>
            <w:vAlign w:val="center"/>
          </w:tcPr>
          <w:p w:rsidR="00D846ED" w:rsidRDefault="00207CF1">
            <w:pPr>
              <w:ind w:firstLine="420"/>
              <w:jc w:val="center"/>
              <w:rPr>
                <w:sz w:val="21"/>
                <w:szCs w:val="21"/>
              </w:rPr>
            </w:pPr>
            <w:r>
              <w:rPr>
                <w:rFonts w:hint="eastAsia"/>
                <w:sz w:val="21"/>
                <w:szCs w:val="21"/>
              </w:rPr>
              <w:t>机织类产品速干性</w:t>
            </w:r>
          </w:p>
        </w:tc>
        <w:tc>
          <w:tcPr>
            <w:tcW w:w="2841" w:type="dxa"/>
            <w:vAlign w:val="center"/>
          </w:tcPr>
          <w:p w:rsidR="00D846ED" w:rsidRDefault="00207CF1">
            <w:pPr>
              <w:ind w:firstLine="420"/>
              <w:jc w:val="center"/>
              <w:rPr>
                <w:sz w:val="21"/>
                <w:szCs w:val="21"/>
              </w:rPr>
            </w:pPr>
            <w:r>
              <w:rPr>
                <w:rFonts w:hint="eastAsia"/>
                <w:sz w:val="21"/>
                <w:szCs w:val="21"/>
              </w:rPr>
              <w:t>蒸发速率</w:t>
            </w:r>
            <w:r>
              <w:rPr>
                <w:rFonts w:hint="eastAsia"/>
                <w:sz w:val="21"/>
                <w:szCs w:val="21"/>
              </w:rPr>
              <w:t>/</w:t>
            </w:r>
            <w:r>
              <w:rPr>
                <w:rFonts w:hint="eastAsia"/>
                <w:sz w:val="21"/>
                <w:szCs w:val="21"/>
              </w:rPr>
              <w:t>（</w:t>
            </w:r>
            <w:r>
              <w:rPr>
                <w:rFonts w:hint="eastAsia"/>
                <w:sz w:val="21"/>
                <w:szCs w:val="21"/>
              </w:rPr>
              <w:t>g/h</w:t>
            </w:r>
            <w:r>
              <w:rPr>
                <w:rFonts w:hint="eastAsia"/>
                <w:sz w:val="21"/>
                <w:szCs w:val="21"/>
              </w:rPr>
              <w:t>）</w:t>
            </w:r>
          </w:p>
        </w:tc>
        <w:tc>
          <w:tcPr>
            <w:tcW w:w="2841" w:type="dxa"/>
            <w:vAlign w:val="center"/>
          </w:tcPr>
          <w:p w:rsidR="00D846ED" w:rsidRDefault="00207CF1">
            <w:pPr>
              <w:ind w:firstLine="420"/>
              <w:jc w:val="center"/>
              <w:rPr>
                <w:sz w:val="21"/>
                <w:szCs w:val="21"/>
              </w:rPr>
            </w:pPr>
            <w:r>
              <w:rPr>
                <w:rFonts w:hint="eastAsia"/>
                <w:sz w:val="21"/>
                <w:szCs w:val="21"/>
              </w:rPr>
              <w:t>≥</w:t>
            </w:r>
            <w:r>
              <w:rPr>
                <w:rFonts w:hint="eastAsia"/>
                <w:sz w:val="21"/>
                <w:szCs w:val="21"/>
              </w:rPr>
              <w:t>0.18</w:t>
            </w:r>
          </w:p>
        </w:tc>
      </w:tr>
      <w:tr w:rsidR="00D846ED">
        <w:tc>
          <w:tcPr>
            <w:tcW w:w="2840" w:type="dxa"/>
            <w:vMerge/>
            <w:vAlign w:val="center"/>
          </w:tcPr>
          <w:p w:rsidR="00D846ED" w:rsidRDefault="00D846ED">
            <w:pPr>
              <w:ind w:firstLine="420"/>
              <w:jc w:val="center"/>
              <w:rPr>
                <w:sz w:val="21"/>
                <w:szCs w:val="21"/>
              </w:rPr>
            </w:pPr>
          </w:p>
        </w:tc>
        <w:tc>
          <w:tcPr>
            <w:tcW w:w="2841" w:type="dxa"/>
            <w:vAlign w:val="center"/>
          </w:tcPr>
          <w:p w:rsidR="00D846ED" w:rsidRDefault="00207CF1">
            <w:pPr>
              <w:ind w:firstLine="420"/>
              <w:jc w:val="center"/>
              <w:rPr>
                <w:sz w:val="21"/>
                <w:szCs w:val="21"/>
              </w:rPr>
            </w:pPr>
            <w:r>
              <w:rPr>
                <w:rFonts w:hint="eastAsia"/>
                <w:sz w:val="21"/>
                <w:szCs w:val="21"/>
              </w:rPr>
              <w:t>透视量</w:t>
            </w:r>
            <w:r>
              <w:rPr>
                <w:rFonts w:hint="eastAsia"/>
                <w:sz w:val="21"/>
                <w:szCs w:val="21"/>
              </w:rPr>
              <w:t>/[g/</w:t>
            </w:r>
            <w:r>
              <w:rPr>
                <w:rFonts w:hint="eastAsia"/>
                <w:sz w:val="21"/>
                <w:szCs w:val="21"/>
              </w:rPr>
              <w:t>（</w:t>
            </w:r>
            <w:r>
              <w:rPr>
                <w:rFonts w:hint="eastAsia"/>
                <w:sz w:val="21"/>
                <w:szCs w:val="21"/>
              </w:rPr>
              <w:t>m</w:t>
            </w:r>
            <w:r>
              <w:rPr>
                <w:rFonts w:hint="eastAsia"/>
                <w:sz w:val="21"/>
                <w:szCs w:val="21"/>
                <w:vertAlign w:val="superscript"/>
              </w:rPr>
              <w:t>2</w:t>
            </w:r>
            <w:r>
              <w:rPr>
                <w:rFonts w:ascii="宋体" w:hAnsi="宋体" w:cs="宋体" w:hint="eastAsia"/>
                <w:sz w:val="21"/>
                <w:szCs w:val="21"/>
              </w:rPr>
              <w:t>·</w:t>
            </w:r>
            <w:r>
              <w:rPr>
                <w:rFonts w:hint="eastAsia"/>
                <w:sz w:val="21"/>
                <w:szCs w:val="21"/>
              </w:rPr>
              <w:t>d</w:t>
            </w:r>
            <w:r>
              <w:rPr>
                <w:rFonts w:hint="eastAsia"/>
                <w:sz w:val="21"/>
                <w:szCs w:val="21"/>
              </w:rPr>
              <w:t>）</w:t>
            </w:r>
            <w:r>
              <w:rPr>
                <w:rFonts w:hint="eastAsia"/>
                <w:sz w:val="21"/>
                <w:szCs w:val="21"/>
              </w:rPr>
              <w:t>]</w:t>
            </w:r>
          </w:p>
        </w:tc>
        <w:tc>
          <w:tcPr>
            <w:tcW w:w="2841" w:type="dxa"/>
            <w:vAlign w:val="center"/>
          </w:tcPr>
          <w:p w:rsidR="00D846ED" w:rsidRDefault="00207CF1">
            <w:pPr>
              <w:ind w:firstLine="420"/>
              <w:jc w:val="center"/>
              <w:rPr>
                <w:sz w:val="21"/>
                <w:szCs w:val="21"/>
              </w:rPr>
            </w:pPr>
            <w:r>
              <w:rPr>
                <w:rFonts w:hint="eastAsia"/>
                <w:sz w:val="21"/>
                <w:szCs w:val="21"/>
              </w:rPr>
              <w:t>≥</w:t>
            </w:r>
            <w:r>
              <w:rPr>
                <w:rFonts w:hint="eastAsia"/>
                <w:sz w:val="21"/>
                <w:szCs w:val="21"/>
              </w:rPr>
              <w:t>8000</w:t>
            </w:r>
          </w:p>
        </w:tc>
      </w:tr>
    </w:tbl>
    <w:p w:rsidR="00D846ED" w:rsidRDefault="00207CF1">
      <w:pPr>
        <w:pStyle w:val="2"/>
        <w:numPr>
          <w:ilvl w:val="0"/>
          <w:numId w:val="3"/>
        </w:numPr>
        <w:spacing w:before="156" w:after="156"/>
        <w:rPr>
          <w:rFonts w:hint="default"/>
        </w:rPr>
      </w:pPr>
      <w:r>
        <w:t>耐热压色牢度</w:t>
      </w:r>
    </w:p>
    <w:p w:rsidR="00D846ED" w:rsidRDefault="00207CF1">
      <w:pPr>
        <w:ind w:firstLine="480"/>
        <w:rPr>
          <w:rFonts w:ascii="宋体" w:hAnsi="宋体" w:cs="宋体"/>
        </w:rPr>
      </w:pPr>
      <w:r>
        <w:rPr>
          <w:rFonts w:hint="eastAsia"/>
        </w:rPr>
        <w:t>海洋调查服装第</w:t>
      </w:r>
      <w:r>
        <w:rPr>
          <w:rFonts w:hint="eastAsia"/>
        </w:rPr>
        <w:t>17</w:t>
      </w:r>
      <w:r>
        <w:rPr>
          <w:rFonts w:hint="eastAsia"/>
        </w:rPr>
        <w:t>部分领带增加了耐热压色牢度的考核，该标准中规定，领带的耐热压色牢度为</w:t>
      </w:r>
      <w:r>
        <w:rPr>
          <w:rFonts w:hint="eastAsia"/>
        </w:rPr>
        <w:t>3-4</w:t>
      </w:r>
      <w:r>
        <w:rPr>
          <w:rFonts w:hint="eastAsia"/>
        </w:rPr>
        <w:t>级，其中加热温度为</w:t>
      </w:r>
      <w:r>
        <w:rPr>
          <w:rFonts w:hint="eastAsia"/>
        </w:rPr>
        <w:t>150</w:t>
      </w:r>
      <w:r>
        <w:rPr>
          <w:rFonts w:ascii="宋体" w:hAnsi="宋体" w:cs="宋体" w:hint="eastAsia"/>
        </w:rPr>
        <w:t>℃</w:t>
      </w:r>
      <w:r>
        <w:rPr>
          <w:rFonts w:hint="eastAsia"/>
        </w:rPr>
        <w:t>±</w:t>
      </w:r>
      <w:r>
        <w:rPr>
          <w:rFonts w:hint="eastAsia"/>
        </w:rPr>
        <w:t>2</w:t>
      </w:r>
      <w:r>
        <w:rPr>
          <w:rFonts w:ascii="宋体" w:hAnsi="宋体" w:cs="宋体" w:hint="eastAsia"/>
        </w:rPr>
        <w:t>℃</w:t>
      </w:r>
      <w:r>
        <w:rPr>
          <w:rFonts w:ascii="宋体" w:hAnsi="宋体" w:cs="宋体" w:hint="eastAsia"/>
        </w:rPr>
        <w:t>。标准中这部分的规定参考了国家标准</w:t>
      </w:r>
      <w:r>
        <w:rPr>
          <w:rFonts w:ascii="宋体" w:hAnsi="宋体" w:cs="宋体" w:hint="eastAsia"/>
        </w:rPr>
        <w:t>GB/T23314-2009</w:t>
      </w:r>
      <w:r>
        <w:rPr>
          <w:rFonts w:ascii="宋体" w:hAnsi="宋体" w:cs="宋体" w:hint="eastAsia"/>
        </w:rPr>
        <w:t>的规定。</w:t>
      </w:r>
      <w:r>
        <w:rPr>
          <w:rFonts w:ascii="宋体" w:hAnsi="宋体" w:cs="宋体" w:hint="eastAsia"/>
        </w:rPr>
        <w:t>GB/T23314-2009</w:t>
      </w:r>
      <w:r>
        <w:rPr>
          <w:rFonts w:ascii="宋体" w:hAnsi="宋体" w:cs="宋体" w:hint="eastAsia"/>
        </w:rPr>
        <w:t>全称“领带”，标准中规定了领带的要求、检测方法、检验分类规则以及标志、包装、运输和贮存等技术特征，标准适用于以防止机织物为主要面料生产的领带，表</w:t>
      </w:r>
      <w:r>
        <w:rPr>
          <w:rFonts w:ascii="宋体" w:hAnsi="宋体" w:cs="宋体" w:hint="eastAsia"/>
        </w:rPr>
        <w:t>3</w:t>
      </w:r>
      <w:r>
        <w:rPr>
          <w:rFonts w:ascii="宋体" w:hAnsi="宋体" w:cs="宋体" w:hint="eastAsia"/>
        </w:rPr>
        <w:t>是标准中对耐热压色牢度的要求。考虑领带的配带场合和环境，耐热压色牢度达到</w:t>
      </w:r>
      <w:r>
        <w:rPr>
          <w:rFonts w:ascii="宋体" w:hAnsi="宋体" w:cs="宋体" w:hint="eastAsia"/>
        </w:rPr>
        <w:t>GB/T23314-2009</w:t>
      </w:r>
      <w:r>
        <w:rPr>
          <w:rFonts w:ascii="宋体" w:hAnsi="宋体" w:cs="宋体" w:hint="eastAsia"/>
        </w:rPr>
        <w:t>中一等品的规定就足以满足穿着要求，所以</w:t>
      </w:r>
      <w:r>
        <w:rPr>
          <w:rFonts w:hint="eastAsia"/>
        </w:rPr>
        <w:t>海洋调查服装第</w:t>
      </w:r>
      <w:r>
        <w:rPr>
          <w:rFonts w:hint="eastAsia"/>
        </w:rPr>
        <w:t>17</w:t>
      </w:r>
      <w:r>
        <w:rPr>
          <w:rFonts w:hint="eastAsia"/>
        </w:rPr>
        <w:t>部分中耐热压色牢度规定为</w:t>
      </w:r>
      <w:r>
        <w:rPr>
          <w:rFonts w:hint="eastAsia"/>
        </w:rPr>
        <w:t>3-4</w:t>
      </w:r>
      <w:r>
        <w:rPr>
          <w:rFonts w:hint="eastAsia"/>
        </w:rPr>
        <w:t>级。</w:t>
      </w:r>
    </w:p>
    <w:p w:rsidR="00D846ED" w:rsidRDefault="00207CF1">
      <w:pPr>
        <w:ind w:firstLine="420"/>
        <w:jc w:val="center"/>
        <w:rPr>
          <w:rFonts w:ascii="宋体" w:hAnsi="宋体" w:cs="宋体"/>
          <w:sz w:val="21"/>
          <w:szCs w:val="21"/>
        </w:rPr>
      </w:pPr>
      <w:r>
        <w:rPr>
          <w:rFonts w:ascii="宋体" w:hAnsi="宋体" w:cs="宋体" w:hint="eastAsia"/>
          <w:sz w:val="21"/>
          <w:szCs w:val="21"/>
        </w:rPr>
        <w:t>表</w:t>
      </w:r>
      <w:r>
        <w:rPr>
          <w:rFonts w:ascii="宋体" w:hAnsi="宋体" w:cs="宋体" w:hint="eastAsia"/>
          <w:sz w:val="21"/>
          <w:szCs w:val="21"/>
        </w:rPr>
        <w:t>3 GB/T23314-2009</w:t>
      </w:r>
      <w:r>
        <w:rPr>
          <w:rFonts w:ascii="宋体" w:hAnsi="宋体" w:cs="宋体" w:hint="eastAsia"/>
          <w:sz w:val="21"/>
          <w:szCs w:val="21"/>
        </w:rPr>
        <w:t>中耐热压的规定</w:t>
      </w:r>
    </w:p>
    <w:tbl>
      <w:tblPr>
        <w:tblStyle w:val="a5"/>
        <w:tblW w:w="0" w:type="auto"/>
        <w:tblLook w:val="04A0" w:firstRow="1" w:lastRow="0" w:firstColumn="1" w:lastColumn="0" w:noHBand="0" w:noVBand="1"/>
      </w:tblPr>
      <w:tblGrid>
        <w:gridCol w:w="1658"/>
        <w:gridCol w:w="1658"/>
        <w:gridCol w:w="1659"/>
        <w:gridCol w:w="1660"/>
        <w:gridCol w:w="1661"/>
      </w:tblGrid>
      <w:tr w:rsidR="00D846ED">
        <w:tc>
          <w:tcPr>
            <w:tcW w:w="3408" w:type="dxa"/>
            <w:gridSpan w:val="2"/>
            <w:vMerge w:val="restart"/>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项目</w:t>
            </w:r>
          </w:p>
        </w:tc>
        <w:tc>
          <w:tcPr>
            <w:tcW w:w="5114" w:type="dxa"/>
            <w:gridSpan w:val="3"/>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技术要求</w:t>
            </w:r>
          </w:p>
        </w:tc>
      </w:tr>
      <w:tr w:rsidR="00D846ED">
        <w:tc>
          <w:tcPr>
            <w:tcW w:w="3408" w:type="dxa"/>
            <w:gridSpan w:val="2"/>
            <w:vMerge/>
            <w:vAlign w:val="center"/>
          </w:tcPr>
          <w:p w:rsidR="00D846ED" w:rsidRDefault="00D846ED">
            <w:pPr>
              <w:ind w:firstLineChars="0" w:firstLine="0"/>
              <w:jc w:val="center"/>
              <w:rPr>
                <w:rFonts w:ascii="宋体" w:hAnsi="宋体" w:cs="宋体"/>
                <w:sz w:val="21"/>
                <w:szCs w:val="21"/>
              </w:rPr>
            </w:pPr>
          </w:p>
        </w:tc>
        <w:tc>
          <w:tcPr>
            <w:tcW w:w="1704"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优等品</w:t>
            </w:r>
          </w:p>
        </w:tc>
        <w:tc>
          <w:tcPr>
            <w:tcW w:w="1704"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一等品</w:t>
            </w:r>
          </w:p>
        </w:tc>
        <w:tc>
          <w:tcPr>
            <w:tcW w:w="1706"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合格品</w:t>
            </w:r>
          </w:p>
        </w:tc>
      </w:tr>
      <w:tr w:rsidR="00D846ED">
        <w:tc>
          <w:tcPr>
            <w:tcW w:w="1704" w:type="dxa"/>
            <w:vMerge w:val="restart"/>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耐热压色牢度</w:t>
            </w:r>
          </w:p>
        </w:tc>
        <w:tc>
          <w:tcPr>
            <w:tcW w:w="1704"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变色≥</w:t>
            </w:r>
          </w:p>
        </w:tc>
        <w:tc>
          <w:tcPr>
            <w:tcW w:w="1704"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4</w:t>
            </w:r>
          </w:p>
        </w:tc>
        <w:tc>
          <w:tcPr>
            <w:tcW w:w="1705"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3-4</w:t>
            </w:r>
          </w:p>
        </w:tc>
        <w:tc>
          <w:tcPr>
            <w:tcW w:w="1705"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3</w:t>
            </w:r>
          </w:p>
        </w:tc>
      </w:tr>
      <w:tr w:rsidR="00D846ED">
        <w:tc>
          <w:tcPr>
            <w:tcW w:w="1704" w:type="dxa"/>
            <w:vMerge/>
            <w:vAlign w:val="center"/>
          </w:tcPr>
          <w:p w:rsidR="00D846ED" w:rsidRDefault="00D846ED">
            <w:pPr>
              <w:ind w:firstLineChars="0" w:firstLine="0"/>
              <w:jc w:val="center"/>
              <w:rPr>
                <w:rFonts w:ascii="宋体" w:hAnsi="宋体" w:cs="宋体"/>
                <w:sz w:val="21"/>
                <w:szCs w:val="21"/>
              </w:rPr>
            </w:pPr>
          </w:p>
        </w:tc>
        <w:tc>
          <w:tcPr>
            <w:tcW w:w="1704" w:type="dxa"/>
            <w:vAlign w:val="center"/>
          </w:tcPr>
          <w:p w:rsidR="00D846ED" w:rsidRDefault="00207CF1">
            <w:pPr>
              <w:ind w:firstLineChars="0" w:firstLine="0"/>
              <w:jc w:val="center"/>
              <w:rPr>
                <w:rFonts w:ascii="宋体" w:hAnsi="宋体" w:cs="宋体"/>
                <w:sz w:val="21"/>
                <w:szCs w:val="21"/>
              </w:rPr>
            </w:pPr>
            <w:proofErr w:type="gramStart"/>
            <w:r>
              <w:rPr>
                <w:rFonts w:ascii="宋体" w:hAnsi="宋体" w:cs="宋体" w:hint="eastAsia"/>
                <w:sz w:val="21"/>
                <w:szCs w:val="21"/>
              </w:rPr>
              <w:t>沾色</w:t>
            </w:r>
            <w:proofErr w:type="gramEnd"/>
            <w:r>
              <w:rPr>
                <w:rFonts w:ascii="宋体" w:hAnsi="宋体" w:cs="宋体" w:hint="eastAsia"/>
                <w:sz w:val="21"/>
                <w:szCs w:val="21"/>
              </w:rPr>
              <w:t>≥</w:t>
            </w:r>
          </w:p>
        </w:tc>
        <w:tc>
          <w:tcPr>
            <w:tcW w:w="1704"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4</w:t>
            </w:r>
          </w:p>
        </w:tc>
        <w:tc>
          <w:tcPr>
            <w:tcW w:w="1705"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3-4</w:t>
            </w:r>
          </w:p>
        </w:tc>
        <w:tc>
          <w:tcPr>
            <w:tcW w:w="1705" w:type="dxa"/>
            <w:vAlign w:val="center"/>
          </w:tcPr>
          <w:p w:rsidR="00D846ED" w:rsidRDefault="00207CF1">
            <w:pPr>
              <w:ind w:firstLineChars="0" w:firstLine="0"/>
              <w:jc w:val="center"/>
              <w:rPr>
                <w:rFonts w:ascii="宋体" w:hAnsi="宋体" w:cs="宋体"/>
                <w:sz w:val="21"/>
                <w:szCs w:val="21"/>
              </w:rPr>
            </w:pPr>
            <w:r>
              <w:rPr>
                <w:rFonts w:ascii="宋体" w:hAnsi="宋体" w:cs="宋体" w:hint="eastAsia"/>
                <w:sz w:val="21"/>
                <w:szCs w:val="21"/>
              </w:rPr>
              <w:t>3</w:t>
            </w:r>
          </w:p>
        </w:tc>
      </w:tr>
    </w:tbl>
    <w:p w:rsidR="00D846ED" w:rsidRDefault="00207CF1">
      <w:pPr>
        <w:pStyle w:val="1"/>
        <w:numPr>
          <w:ilvl w:val="0"/>
          <w:numId w:val="1"/>
        </w:numPr>
        <w:ind w:left="562" w:hanging="562"/>
        <w:rPr>
          <w:rFonts w:hint="default"/>
        </w:rPr>
      </w:pPr>
      <w:r>
        <w:t>采用国际标准的程度及水平的简要说明；</w:t>
      </w:r>
    </w:p>
    <w:p w:rsidR="00D846ED" w:rsidRDefault="00207CF1">
      <w:pPr>
        <w:ind w:firstLine="480"/>
      </w:pPr>
      <w:r>
        <w:rPr>
          <w:rFonts w:hint="eastAsia"/>
        </w:rPr>
        <w:t>海洋调查服装系列标准中引用了</w:t>
      </w:r>
      <w:r>
        <w:rPr>
          <w:rFonts w:hint="eastAsia"/>
        </w:rPr>
        <w:t>GB/T2664-2017</w:t>
      </w:r>
      <w:r>
        <w:rPr>
          <w:rFonts w:hint="eastAsia"/>
        </w:rPr>
        <w:t>男西服大衣、</w:t>
      </w:r>
      <w:r>
        <w:rPr>
          <w:rFonts w:hint="eastAsia"/>
        </w:rPr>
        <w:t>GB/T2665-2017</w:t>
      </w:r>
      <w:r>
        <w:rPr>
          <w:rFonts w:hint="eastAsia"/>
        </w:rPr>
        <w:t>女西服大衣、</w:t>
      </w:r>
      <w:r>
        <w:rPr>
          <w:rFonts w:hint="eastAsia"/>
        </w:rPr>
        <w:t>GB/T2666-2017</w:t>
      </w:r>
      <w:r>
        <w:rPr>
          <w:rFonts w:hint="eastAsia"/>
        </w:rPr>
        <w:t>西裤、</w:t>
      </w:r>
      <w:r>
        <w:rPr>
          <w:rFonts w:hint="eastAsia"/>
        </w:rPr>
        <w:t>FZ/T73018-2012</w:t>
      </w:r>
      <w:r>
        <w:rPr>
          <w:rFonts w:hint="eastAsia"/>
        </w:rPr>
        <w:t>毛针织品、</w:t>
      </w:r>
      <w:r>
        <w:rPr>
          <w:rFonts w:hint="eastAsia"/>
        </w:rPr>
        <w:t>FZ/T81007-2012</w:t>
      </w:r>
      <w:r>
        <w:rPr>
          <w:rFonts w:hint="eastAsia"/>
        </w:rPr>
        <w:t>单、夹服装、</w:t>
      </w:r>
      <w:r>
        <w:rPr>
          <w:rFonts w:hint="eastAsia"/>
        </w:rPr>
        <w:t>GB/T2662-2017</w:t>
      </w:r>
      <w:r>
        <w:rPr>
          <w:rFonts w:hint="eastAsia"/>
        </w:rPr>
        <w:t>棉服装、</w:t>
      </w:r>
      <w:r>
        <w:rPr>
          <w:rFonts w:hint="eastAsia"/>
        </w:rPr>
        <w:t xml:space="preserve">GB/T 32614-2016 </w:t>
      </w:r>
      <w:r>
        <w:rPr>
          <w:rFonts w:hint="eastAsia"/>
        </w:rPr>
        <w:t>户外运动服装</w:t>
      </w:r>
      <w:r>
        <w:rPr>
          <w:rFonts w:hint="eastAsia"/>
        </w:rPr>
        <w:t xml:space="preserve"> </w:t>
      </w:r>
      <w:r>
        <w:rPr>
          <w:rFonts w:hint="eastAsia"/>
        </w:rPr>
        <w:t>冲锋衣、</w:t>
      </w:r>
      <w:r>
        <w:rPr>
          <w:rFonts w:hint="eastAsia"/>
        </w:rPr>
        <w:t xml:space="preserve">GB/T </w:t>
      </w:r>
      <w:r>
        <w:rPr>
          <w:rFonts w:hint="eastAsia"/>
        </w:rPr>
        <w:t>22849-2014</w:t>
      </w:r>
      <w:r>
        <w:rPr>
          <w:rFonts w:hint="eastAsia"/>
        </w:rPr>
        <w:t>针织</w:t>
      </w:r>
      <w:r>
        <w:rPr>
          <w:rFonts w:hint="eastAsia"/>
        </w:rPr>
        <w:t>T</w:t>
      </w:r>
      <w:r>
        <w:rPr>
          <w:rFonts w:hint="eastAsia"/>
        </w:rPr>
        <w:t>恤衫等相应的国家标准和行业标准，这些标准中全都是国家相关部门或行业相关部门自主研发的成果，没有引用或采用或修改任</w:t>
      </w:r>
      <w:r>
        <w:rPr>
          <w:rFonts w:hint="eastAsia"/>
        </w:rPr>
        <w:lastRenderedPageBreak/>
        <w:t>何的国际标准，其中大部分的产品标准都是近五年的标准，是比较新的标准，能够适应目前市场产品检测需求。</w:t>
      </w:r>
    </w:p>
    <w:p w:rsidR="00D846ED" w:rsidRDefault="00207CF1">
      <w:pPr>
        <w:pStyle w:val="1"/>
        <w:numPr>
          <w:ilvl w:val="0"/>
          <w:numId w:val="1"/>
        </w:numPr>
        <w:ind w:left="562" w:hanging="562"/>
        <w:rPr>
          <w:rFonts w:hint="default"/>
        </w:rPr>
      </w:pPr>
      <w:r>
        <w:t>重大分歧意见的处理经过和依据；</w:t>
      </w:r>
    </w:p>
    <w:p w:rsidR="00D846ED" w:rsidRDefault="00207CF1">
      <w:pPr>
        <w:ind w:firstLine="480"/>
      </w:pPr>
      <w:r>
        <w:rPr>
          <w:rFonts w:hint="eastAsia"/>
        </w:rPr>
        <w:t>标准的制定前期经过了充分准备，标准制定过程中也征求了众多相关领域专家的意见，标准的初稿也经过了相关专家的审核和修订，不同意见的部分也是通过友好辩证讨论解决，不存在重大分歧意见。</w:t>
      </w:r>
    </w:p>
    <w:p w:rsidR="00D846ED" w:rsidRDefault="00207CF1">
      <w:pPr>
        <w:pStyle w:val="1"/>
        <w:numPr>
          <w:ilvl w:val="0"/>
          <w:numId w:val="1"/>
        </w:numPr>
        <w:ind w:left="562" w:hanging="562"/>
        <w:rPr>
          <w:rFonts w:hint="default"/>
        </w:rPr>
      </w:pPr>
      <w:r>
        <w:t>贯</w:t>
      </w:r>
      <w:r>
        <w:t>彻学会标准的要求和措施建议</w:t>
      </w:r>
      <w:r w:rsidRPr="006B5B2A">
        <w:t>（包括</w:t>
      </w:r>
      <w:r w:rsidRPr="006B5B2A">
        <w:t>组织措施、技术措施</w:t>
      </w:r>
      <w:r w:rsidRPr="006B5B2A">
        <w:t>、过渡办法等</w:t>
      </w:r>
      <w:r w:rsidRPr="006B5B2A">
        <w:t>内容）</w:t>
      </w:r>
      <w:r>
        <w:t>；</w:t>
      </w:r>
    </w:p>
    <w:p w:rsidR="00D846ED" w:rsidRDefault="00207CF1">
      <w:pPr>
        <w:ind w:firstLine="480"/>
      </w:pPr>
      <w:r>
        <w:rPr>
          <w:rFonts w:hint="eastAsia"/>
        </w:rPr>
        <w:t>海洋调查服装系列标准中的指标基本都是参考了现行的国家标准和行业标准，对相关产品的要求不是跳跃性的提高，而</w:t>
      </w:r>
      <w:bookmarkStart w:id="0" w:name="_GoBack"/>
      <w:bookmarkEnd w:id="0"/>
      <w:r>
        <w:rPr>
          <w:rFonts w:hint="eastAsia"/>
        </w:rPr>
        <w:t>是在现有的基础上进行了整合和完善，对于普通的面料和服装供应商而言，按照标准是容易达到相关要求的，所以在过渡期方面</w:t>
      </w:r>
      <w:proofErr w:type="gramStart"/>
      <w:r>
        <w:rPr>
          <w:rFonts w:hint="eastAsia"/>
        </w:rPr>
        <w:t>可以预半年</w:t>
      </w:r>
      <w:proofErr w:type="gramEnd"/>
      <w:r>
        <w:rPr>
          <w:rFonts w:hint="eastAsia"/>
        </w:rPr>
        <w:t>或一年的过渡期，在过渡期内可以执行现行</w:t>
      </w:r>
      <w:r w:rsidR="006B5B2A">
        <w:rPr>
          <w:rFonts w:hint="eastAsia"/>
        </w:rPr>
        <w:t>相对应的国家标准或者新的海洋调查服装系列</w:t>
      </w:r>
      <w:r w:rsidR="006B5B2A">
        <w:t>团体</w:t>
      </w:r>
      <w:r w:rsidR="006B5B2A">
        <w:rPr>
          <w:rFonts w:hint="eastAsia"/>
        </w:rPr>
        <w:t>标准，过渡期结束后推荐</w:t>
      </w:r>
      <w:r>
        <w:rPr>
          <w:rFonts w:hint="eastAsia"/>
        </w:rPr>
        <w:t>执行</w:t>
      </w:r>
      <w:r>
        <w:rPr>
          <w:rFonts w:hint="eastAsia"/>
        </w:rPr>
        <w:t>海洋调查服装系列</w:t>
      </w:r>
      <w:r w:rsidR="006B5B2A">
        <w:rPr>
          <w:rFonts w:hint="eastAsia"/>
        </w:rPr>
        <w:t>团体</w:t>
      </w:r>
      <w:r>
        <w:rPr>
          <w:rFonts w:hint="eastAsia"/>
        </w:rPr>
        <w:t>标准。</w:t>
      </w:r>
    </w:p>
    <w:p w:rsidR="00D846ED" w:rsidRDefault="00207CF1">
      <w:pPr>
        <w:pStyle w:val="1"/>
        <w:numPr>
          <w:ilvl w:val="0"/>
          <w:numId w:val="1"/>
        </w:numPr>
        <w:ind w:left="562" w:hanging="562"/>
        <w:rPr>
          <w:rFonts w:hint="default"/>
        </w:rPr>
      </w:pPr>
      <w:r>
        <w:t>其它应予说明的事项。</w:t>
      </w:r>
    </w:p>
    <w:p w:rsidR="00D846ED" w:rsidRDefault="00207CF1">
      <w:pPr>
        <w:ind w:firstLine="480"/>
      </w:pPr>
      <w:r>
        <w:rPr>
          <w:rFonts w:hint="eastAsia"/>
        </w:rPr>
        <w:t>无</w:t>
      </w:r>
    </w:p>
    <w:p w:rsidR="00D846ED" w:rsidRDefault="00D846ED">
      <w:pPr>
        <w:ind w:firstLine="640"/>
        <w:rPr>
          <w:rFonts w:ascii="仿宋_GB2312" w:eastAsia="仿宋_GB2312" w:hAnsi="微软雅黑" w:cs="宋体"/>
          <w:kern w:val="0"/>
          <w:sz w:val="32"/>
          <w:szCs w:val="32"/>
        </w:rPr>
      </w:pPr>
    </w:p>
    <w:p w:rsidR="00D846ED" w:rsidRDefault="00D846ED">
      <w:pPr>
        <w:ind w:firstLine="480"/>
      </w:pPr>
    </w:p>
    <w:sectPr w:rsidR="00D846E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F1" w:rsidRDefault="00207CF1">
      <w:pPr>
        <w:spacing w:line="240" w:lineRule="auto"/>
        <w:ind w:firstLine="480"/>
      </w:pPr>
      <w:r>
        <w:separator/>
      </w:r>
    </w:p>
  </w:endnote>
  <w:endnote w:type="continuationSeparator" w:id="0">
    <w:p w:rsidR="00207CF1" w:rsidRDefault="00207CF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ED" w:rsidRDefault="00207CF1">
    <w:pPr>
      <w:pStyle w:val="a3"/>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846ED" w:rsidRDefault="00207CF1">
                          <w:pPr>
                            <w:pStyle w:val="a3"/>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B5B2A">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846ED" w:rsidRDefault="00207CF1">
                    <w:pPr>
                      <w:pStyle w:val="a3"/>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B5B2A">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F1" w:rsidRDefault="00207CF1">
      <w:pPr>
        <w:spacing w:line="240" w:lineRule="auto"/>
        <w:ind w:firstLine="480"/>
      </w:pPr>
      <w:r>
        <w:separator/>
      </w:r>
    </w:p>
  </w:footnote>
  <w:footnote w:type="continuationSeparator" w:id="0">
    <w:p w:rsidR="00207CF1" w:rsidRDefault="00207CF1">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BF5DAD"/>
    <w:multiLevelType w:val="singleLevel"/>
    <w:tmpl w:val="D7BF5DAD"/>
    <w:lvl w:ilvl="0">
      <w:start w:val="1"/>
      <w:numFmt w:val="chineseCounting"/>
      <w:suff w:val="nothing"/>
      <w:lvlText w:val="（%1）"/>
      <w:lvlJc w:val="left"/>
      <w:rPr>
        <w:rFonts w:hint="eastAsia"/>
      </w:rPr>
    </w:lvl>
  </w:abstractNum>
  <w:abstractNum w:abstractNumId="1">
    <w:nsid w:val="EAB72DF7"/>
    <w:multiLevelType w:val="singleLevel"/>
    <w:tmpl w:val="EAB72DF7"/>
    <w:lvl w:ilvl="0">
      <w:start w:val="1"/>
      <w:numFmt w:val="chineseCounting"/>
      <w:suff w:val="nothing"/>
      <w:lvlText w:val="（%1）"/>
      <w:lvlJc w:val="left"/>
      <w:rPr>
        <w:rFonts w:hint="eastAsia"/>
      </w:rPr>
    </w:lvl>
  </w:abstractNum>
  <w:abstractNum w:abstractNumId="2">
    <w:nsid w:val="117A3330"/>
    <w:multiLevelType w:val="multilevel"/>
    <w:tmpl w:val="117A333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A7"/>
    <w:rsid w:val="00053B79"/>
    <w:rsid w:val="00207CF1"/>
    <w:rsid w:val="006528EE"/>
    <w:rsid w:val="0065545D"/>
    <w:rsid w:val="006B5B2A"/>
    <w:rsid w:val="007420C8"/>
    <w:rsid w:val="008C5197"/>
    <w:rsid w:val="009B45A7"/>
    <w:rsid w:val="00A00747"/>
    <w:rsid w:val="00C7019F"/>
    <w:rsid w:val="00D846ED"/>
    <w:rsid w:val="186A5B46"/>
    <w:rsid w:val="24954A41"/>
    <w:rsid w:val="28AC7881"/>
    <w:rsid w:val="31714FD6"/>
    <w:rsid w:val="39F15B0D"/>
    <w:rsid w:val="56F04BB1"/>
    <w:rsid w:val="5A8C75BA"/>
    <w:rsid w:val="7C90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A5515-7DC8-4976-8258-0CC36C8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exact"/>
      <w:ind w:firstLineChars="200" w:firstLine="880"/>
      <w:jc w:val="both"/>
    </w:pPr>
    <w:rPr>
      <w:kern w:val="2"/>
      <w:sz w:val="24"/>
      <w:szCs w:val="24"/>
    </w:rPr>
  </w:style>
  <w:style w:type="paragraph" w:styleId="1">
    <w:name w:val="heading 1"/>
    <w:basedOn w:val="a"/>
    <w:next w:val="a"/>
    <w:uiPriority w:val="9"/>
    <w:qFormat/>
    <w:pPr>
      <w:spacing w:beforeAutospacing="1" w:afterAutospacing="1"/>
      <w:ind w:left="880" w:hangingChars="200" w:hanging="880"/>
      <w:jc w:val="left"/>
      <w:outlineLvl w:val="0"/>
    </w:pPr>
    <w:rPr>
      <w:rFonts w:ascii="宋体" w:hAnsi="宋体" w:hint="eastAsia"/>
      <w:b/>
      <w:bCs/>
      <w:kern w:val="44"/>
      <w:sz w:val="28"/>
      <w:szCs w:val="48"/>
    </w:rPr>
  </w:style>
  <w:style w:type="paragraph" w:styleId="2">
    <w:name w:val="heading 2"/>
    <w:basedOn w:val="a"/>
    <w:next w:val="a"/>
    <w:uiPriority w:val="9"/>
    <w:unhideWhenUsed/>
    <w:qFormat/>
    <w:pPr>
      <w:keepNext/>
      <w:adjustRightInd w:val="0"/>
      <w:snapToGrid w:val="0"/>
      <w:spacing w:beforeLines="50" w:before="50" w:afterLines="50" w:after="50"/>
      <w:ind w:firstLineChars="0" w:firstLine="0"/>
      <w:jc w:val="left"/>
      <w:outlineLvl w:val="1"/>
    </w:pPr>
    <w:rPr>
      <w:rFonts w:asciiTheme="minorHAnsi" w:eastAsiaTheme="minorEastAsia" w:hAnsiTheme="minorHAnsi" w:hint="eastAsia"/>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76575-699223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c:creator>
  <cp:lastModifiedBy>LY</cp:lastModifiedBy>
  <cp:revision>6</cp:revision>
  <dcterms:created xsi:type="dcterms:W3CDTF">2020-11-26T17:59:00Z</dcterms:created>
  <dcterms:modified xsi:type="dcterms:W3CDTF">2020-12-02T13:34:00Z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